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D9D05" w14:textId="77777777" w:rsidR="00E172E7" w:rsidRPr="00B753B8" w:rsidRDefault="00903DC3" w:rsidP="006F5BE1">
      <w:pPr>
        <w:jc w:val="center"/>
        <w:rPr>
          <w:rFonts w:cs="Arial"/>
        </w:rPr>
      </w:pPr>
      <w:r w:rsidRPr="00B753B8">
        <w:rPr>
          <w:rFonts w:cs="Arial"/>
        </w:rPr>
        <w:t>UITTREKSEL UIT HET RE</w:t>
      </w:r>
      <w:smartTag w:uri="urn:schemas-microsoft-com:office:smarttags" w:element="PersonName">
        <w:r w:rsidRPr="00B753B8">
          <w:rPr>
            <w:rFonts w:cs="Arial"/>
          </w:rPr>
          <w:t>GIS</w:t>
        </w:r>
      </w:smartTag>
      <w:r w:rsidRPr="00B753B8">
        <w:rPr>
          <w:rFonts w:cs="Arial"/>
        </w:rPr>
        <w:t xml:space="preserve">TER DER BERAADSLAGINGEN VAN </w:t>
      </w:r>
      <w:r w:rsidR="00BA651E">
        <w:rPr>
          <w:rFonts w:cs="Arial"/>
        </w:rPr>
        <w:t>DE GEMEENTERAAD</w:t>
      </w:r>
      <w:r w:rsidRPr="00B753B8">
        <w:rPr>
          <w:rFonts w:cs="Arial"/>
        </w:rPr>
        <w:t xml:space="preserve"> VAN DE STAD IEPER</w:t>
      </w:r>
    </w:p>
    <w:p w14:paraId="1CED8403" w14:textId="77777777" w:rsidR="005B396D" w:rsidRPr="00B753B8" w:rsidRDefault="005B396D" w:rsidP="005B396D">
      <w:pPr>
        <w:pBdr>
          <w:bottom w:val="single" w:sz="4" w:space="1" w:color="auto"/>
        </w:pBdr>
        <w:rPr>
          <w:rFonts w:cs="Arial"/>
        </w:rPr>
      </w:pPr>
    </w:p>
    <w:p w14:paraId="5EEE2D99" w14:textId="77777777" w:rsidR="005B396D" w:rsidRPr="00B753B8" w:rsidRDefault="005B396D" w:rsidP="00D82A72">
      <w:pPr>
        <w:rPr>
          <w:rFonts w:cs="Arial"/>
        </w:rPr>
      </w:pPr>
    </w:p>
    <w:p w14:paraId="72581D7F" w14:textId="77777777" w:rsidR="00E172E7" w:rsidRPr="00B753B8" w:rsidRDefault="00903DC3" w:rsidP="0020387A">
      <w:pPr>
        <w:jc w:val="center"/>
        <w:rPr>
          <w:rFonts w:cs="Arial"/>
        </w:rPr>
      </w:pPr>
      <w:r w:rsidRPr="00B753B8">
        <w:rPr>
          <w:rFonts w:cs="Arial"/>
        </w:rPr>
        <w:t xml:space="preserve">Zitting van </w:t>
      </w:r>
      <w:r w:rsidR="00E13602">
        <w:rPr>
          <w:rFonts w:cs="Arial"/>
          <w:noProof/>
          <w:color w:val="000000"/>
        </w:rPr>
        <w:t>3 mei 2021</w:t>
      </w:r>
    </w:p>
    <w:p w14:paraId="397085F3" w14:textId="77777777" w:rsidR="00E172E7" w:rsidRPr="00B753B8" w:rsidRDefault="00E172E7" w:rsidP="00D82A72">
      <w:pPr>
        <w:rPr>
          <w:rFonts w:cs="Arial"/>
        </w:rPr>
      </w:pPr>
    </w:p>
    <w:p w14:paraId="2CCF9C03" w14:textId="77777777" w:rsidR="00AD0F72" w:rsidRPr="00B753B8" w:rsidRDefault="00E13602" w:rsidP="00D82A72">
      <w:pPr>
        <w:rPr>
          <w:rFonts w:cs="Arial"/>
          <w:noProof/>
        </w:rPr>
      </w:pPr>
      <w:r>
        <w:rPr>
          <w:rFonts w:cs="Arial"/>
          <w:noProof/>
        </w:rPr>
        <w:t xml:space="preserve">Aanwezig:Ann-Sophie Himpe, </w:t>
      </w:r>
      <w:r w:rsidR="00DC1821">
        <w:rPr>
          <w:rFonts w:cs="Arial"/>
          <w:noProof/>
        </w:rPr>
        <w:t>Voorzitter</w:t>
      </w:r>
    </w:p>
    <w:p w14:paraId="33A0E5AC" w14:textId="77777777" w:rsidR="00DC1821" w:rsidRDefault="00903DC3" w:rsidP="00D82A72">
      <w:pPr>
        <w:rPr>
          <w:rFonts w:cs="Arial"/>
        </w:rPr>
      </w:pPr>
      <w:r>
        <w:rPr>
          <w:rFonts w:cs="Arial"/>
          <w:noProof/>
        </w:rPr>
        <w:t>Emmily Talpe, Burgemeester</w:t>
      </w:r>
    </w:p>
    <w:p w14:paraId="3E97D55F" w14:textId="77777777" w:rsidR="00DC1821" w:rsidRDefault="00903DC3" w:rsidP="00D82A72">
      <w:pPr>
        <w:rPr>
          <w:rFonts w:cs="Arial"/>
        </w:rPr>
      </w:pPr>
      <w:r>
        <w:rPr>
          <w:rFonts w:cs="Arial"/>
          <w:noProof/>
        </w:rPr>
        <w:t xml:space="preserve">Philip Bolle, Patrick Benoot, Ives Goudeseune, Valentijn Despeghel, Diego </w:t>
      </w:r>
      <w:r>
        <w:rPr>
          <w:rFonts w:cs="Arial"/>
          <w:noProof/>
        </w:rPr>
        <w:t>Desmadryl, Dimitry Soenen, Eva Ryde, Schepenen</w:t>
      </w:r>
    </w:p>
    <w:p w14:paraId="61E167D7" w14:textId="77777777" w:rsidR="00DC1821" w:rsidRDefault="00903DC3" w:rsidP="00D82A72">
      <w:pPr>
        <w:rPr>
          <w:rFonts w:cs="Arial"/>
        </w:rPr>
      </w:pPr>
      <w:r>
        <w:rPr>
          <w:rFonts w:cs="Arial"/>
          <w:noProof/>
        </w:rPr>
        <w:t>Thijs Descamps, Sarah Bouton, Gaetan Dumoulin, Isabelle Duquesne, Edouard Wallays, Evelyn Bouchaert, Andy Verkruysse, Katrien Desomer, Jo Baert, Jan Breyne, Peter De Groote, Stephaan De Roo, Miet Durnez, Jan L</w:t>
      </w:r>
      <w:r>
        <w:rPr>
          <w:rFonts w:cs="Arial"/>
          <w:noProof/>
        </w:rPr>
        <w:t>aurens, Stefaan Williams, Jordy Sabels, Sam Vancayseele, Nancy Six, Saskia Dehollander, Hans Feys, Miguel Gheysens, Raadsleden</w:t>
      </w:r>
    </w:p>
    <w:p w14:paraId="1F598424" w14:textId="77777777" w:rsidR="00AD0F72" w:rsidRPr="00B753B8" w:rsidRDefault="00DC1821" w:rsidP="00D82A72">
      <w:pPr>
        <w:rPr>
          <w:rFonts w:cs="Arial"/>
          <w:noProof/>
        </w:rPr>
      </w:pPr>
      <w:r>
        <w:rPr>
          <w:rFonts w:cs="Arial"/>
          <w:noProof/>
        </w:rPr>
        <w:t>Stefan Depraetere, Algemeen directeur</w:t>
      </w:r>
    </w:p>
    <w:p w14:paraId="482F152C" w14:textId="77777777" w:rsidR="00AD0F72" w:rsidRDefault="00E13602" w:rsidP="00266258">
      <w:pPr>
        <w:pBdr>
          <w:bottom w:val="single" w:sz="4" w:space="1" w:color="auto"/>
        </w:pBdr>
        <w:rPr>
          <w:rFonts w:cs="Arial"/>
        </w:rPr>
      </w:pPr>
      <w:r>
        <w:rPr>
          <w:rFonts w:cs="Arial"/>
          <w:noProof/>
        </w:rPr>
        <w:t xml:space="preserve">Verontschuldigd: Jan Delie, </w:t>
      </w:r>
      <w:r w:rsidR="00DC1821">
        <w:rPr>
          <w:rFonts w:cs="Arial"/>
          <w:noProof/>
        </w:rPr>
        <w:t>Raadslid</w:t>
      </w:r>
    </w:p>
    <w:p w14:paraId="514C0662" w14:textId="77777777" w:rsidR="00B74C2A" w:rsidRPr="00B753B8" w:rsidRDefault="00B74C2A" w:rsidP="00266258">
      <w:pPr>
        <w:pBdr>
          <w:bottom w:val="single" w:sz="4" w:space="1" w:color="auto"/>
        </w:pBdr>
        <w:rPr>
          <w:rFonts w:cs="Arial"/>
        </w:rPr>
      </w:pPr>
    </w:p>
    <w:p w14:paraId="6C9DCFCA" w14:textId="77777777" w:rsidR="00266258" w:rsidRDefault="00266258" w:rsidP="00D82A72">
      <w:pPr>
        <w:rPr>
          <w:rFonts w:cs="Arial"/>
        </w:rPr>
      </w:pPr>
    </w:p>
    <w:p w14:paraId="7D3971B0" w14:textId="77777777" w:rsidR="0008297A" w:rsidRPr="00B753B8" w:rsidRDefault="0008297A" w:rsidP="00D82A7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85"/>
      </w:tblGrid>
      <w:tr w:rsidR="00671283" w14:paraId="59003DA3" w14:textId="77777777" w:rsidTr="006715AB">
        <w:trPr>
          <w:trHeight w:val="399"/>
        </w:trPr>
        <w:tc>
          <w:tcPr>
            <w:tcW w:w="2093" w:type="dxa"/>
            <w:shd w:val="clear" w:color="auto" w:fill="auto"/>
            <w:vAlign w:val="center"/>
          </w:tcPr>
          <w:p w14:paraId="1FCB7024" w14:textId="77777777" w:rsidR="006715AB" w:rsidRPr="00C712E1" w:rsidRDefault="00E13602" w:rsidP="006715AB">
            <w:pPr>
              <w:rPr>
                <w:rFonts w:cs="Arial"/>
                <w:b/>
                <w:color w:val="000000"/>
              </w:rPr>
            </w:pPr>
            <w:r>
              <w:rPr>
                <w:rFonts w:cs="Arial"/>
                <w:b/>
                <w:noProof/>
                <w:color w:val="000000"/>
              </w:rPr>
              <w:t>GR/2021</w:t>
            </w:r>
            <w:r w:rsidR="00903DC3" w:rsidRPr="00C712E1">
              <w:rPr>
                <w:rFonts w:cs="Arial"/>
                <w:b/>
                <w:noProof/>
                <w:color w:val="000000"/>
              </w:rPr>
              <w:t>/097</w:t>
            </w:r>
            <w:r w:rsidR="00903DC3" w:rsidRPr="00C712E1">
              <w:rPr>
                <w:rFonts w:cs="Arial"/>
                <w:b/>
                <w:color w:val="000000"/>
              </w:rPr>
              <w:t xml:space="preserve"> </w:t>
            </w:r>
          </w:p>
        </w:tc>
        <w:tc>
          <w:tcPr>
            <w:tcW w:w="7185" w:type="dxa"/>
            <w:shd w:val="clear" w:color="auto" w:fill="auto"/>
            <w:vAlign w:val="center"/>
          </w:tcPr>
          <w:p w14:paraId="5A99CAA7" w14:textId="77777777" w:rsidR="006715AB" w:rsidRPr="00B753B8" w:rsidRDefault="00E13602" w:rsidP="00AB7492">
            <w:pPr>
              <w:rPr>
                <w:rFonts w:cs="Arial"/>
                <w:b/>
                <w:color w:val="000000"/>
              </w:rPr>
            </w:pPr>
            <w:r>
              <w:rPr>
                <w:rFonts w:cs="Arial"/>
                <w:b/>
                <w:noProof/>
                <w:color w:val="000000"/>
              </w:rPr>
              <w:t>Reglement ambulante</w:t>
            </w:r>
            <w:r w:rsidR="00903DC3" w:rsidRPr="00B753B8">
              <w:rPr>
                <w:rFonts w:cs="Arial"/>
                <w:b/>
                <w:noProof/>
                <w:color w:val="000000"/>
              </w:rPr>
              <w:t xml:space="preserve"> handel op het openbaar domein buiten de openbare markten - goedkeuring</w:t>
            </w:r>
          </w:p>
        </w:tc>
      </w:tr>
    </w:tbl>
    <w:p w14:paraId="79496F4D" w14:textId="77777777" w:rsidR="006F5BE1" w:rsidRPr="00B753B8" w:rsidRDefault="006F5BE1" w:rsidP="006F5BE1">
      <w:pPr>
        <w:tabs>
          <w:tab w:val="left" w:pos="709"/>
          <w:tab w:val="left" w:pos="4942"/>
        </w:tabs>
        <w:rPr>
          <w:rFonts w:cs="Arial"/>
          <w:color w:val="000000"/>
          <w:szCs w:val="22"/>
        </w:rPr>
      </w:pPr>
    </w:p>
    <w:p w14:paraId="113FDC0E" w14:textId="77777777" w:rsidR="00831CCD" w:rsidRPr="00B753B8" w:rsidRDefault="00831CCD">
      <w:pPr>
        <w:rPr>
          <w:rFonts w:cs="Arial"/>
        </w:rPr>
      </w:pPr>
    </w:p>
    <w:p w14:paraId="59E9BAF5" w14:textId="77777777" w:rsidR="006839DF" w:rsidRPr="00C712E1" w:rsidRDefault="005B396D" w:rsidP="00C712E1">
      <w:pPr>
        <w:spacing w:after="60"/>
        <w:ind w:left="992" w:hanging="992"/>
        <w:rPr>
          <w:rFonts w:cs="Arial"/>
          <w:u w:val="single"/>
        </w:rPr>
      </w:pPr>
      <w:r w:rsidRPr="00C712E1">
        <w:rPr>
          <w:rFonts w:cs="Arial"/>
          <w:u w:val="single"/>
        </w:rPr>
        <w:t>OVERWEGEND GEDEELTE</w:t>
      </w:r>
    </w:p>
    <w:p w14:paraId="76B639D8" w14:textId="77777777" w:rsidR="006D585E" w:rsidRPr="00117EC3" w:rsidRDefault="00903DC3" w:rsidP="006D585E">
      <w:pPr>
        <w:pStyle w:val="Tekstvaklabel"/>
      </w:pPr>
      <w:r>
        <w:rPr>
          <w:noProof/>
        </w:rPr>
        <w:t>Juridische grondslag en bevoegdheden</w:t>
      </w:r>
    </w:p>
    <w:p w14:paraId="47D60270" w14:textId="77777777" w:rsidR="006D585E" w:rsidRDefault="00903DC3">
      <w:pPr>
        <w:rPr>
          <w:rFonts w:cs="Arial"/>
          <w:noProof/>
        </w:rPr>
      </w:pPr>
      <w:r>
        <w:rPr>
          <w:rFonts w:cs="Arial"/>
          <w:noProof/>
        </w:rPr>
        <w:t xml:space="preserve">Het Decreet Lokaal Bestuur van 22 december 2017 (B.S. 15 februari 2018), en latere wijzigingen, meer bepaald </w:t>
      </w:r>
      <w:r>
        <w:rPr>
          <w:rFonts w:cs="Arial"/>
          <w:noProof/>
        </w:rPr>
        <w:t>artikels 40 en 41, betreffende de bevoegdheden van de gemeenteraad;</w:t>
      </w:r>
    </w:p>
    <w:p w14:paraId="78285CF9" w14:textId="77777777" w:rsidR="006D585E" w:rsidRDefault="00903DC3">
      <w:pPr>
        <w:rPr>
          <w:rFonts w:cs="Arial"/>
          <w:noProof/>
        </w:rPr>
      </w:pPr>
      <w:r>
        <w:rPr>
          <w:rFonts w:cs="Arial"/>
          <w:noProof/>
        </w:rPr>
        <w:t>De wet van 29 juli 1991 betreffende de uitdrukkelijke motiveringsplicht van bestuurshandelingen, en latere wijzigingen;</w:t>
      </w:r>
    </w:p>
    <w:p w14:paraId="3F83B7F0" w14:textId="77777777" w:rsidR="006D585E" w:rsidRDefault="00903DC3">
      <w:pPr>
        <w:rPr>
          <w:rFonts w:cs="Arial"/>
          <w:noProof/>
        </w:rPr>
      </w:pPr>
      <w:r>
        <w:rPr>
          <w:rFonts w:cs="Arial"/>
          <w:noProof/>
        </w:rPr>
        <w:t>Het Bestuursdecreet van 7 december 2018 (B.S. 19.12.2018);</w:t>
      </w:r>
    </w:p>
    <w:p w14:paraId="3B345937" w14:textId="77777777" w:rsidR="006D585E" w:rsidRDefault="00903DC3">
      <w:pPr>
        <w:rPr>
          <w:rFonts w:cs="Arial"/>
          <w:noProof/>
        </w:rPr>
      </w:pPr>
      <w:r>
        <w:rPr>
          <w:rFonts w:cs="Arial"/>
          <w:noProof/>
        </w:rPr>
        <w:t>De gemeen</w:t>
      </w:r>
      <w:r>
        <w:rPr>
          <w:rFonts w:cs="Arial"/>
          <w:noProof/>
        </w:rPr>
        <w:t>teraadsbeslissing van 3 mei 2021 omtrent de goedkeuring van het plaatsingsreglement interne organisatie van de wekelijkse zaterdagmarkt;</w:t>
      </w:r>
    </w:p>
    <w:p w14:paraId="624F6374" w14:textId="77777777" w:rsidR="006D585E" w:rsidRDefault="00903DC3">
      <w:pPr>
        <w:rPr>
          <w:rFonts w:cs="Arial"/>
          <w:noProof/>
        </w:rPr>
      </w:pPr>
      <w:r>
        <w:rPr>
          <w:rFonts w:cs="Arial"/>
          <w:noProof/>
        </w:rPr>
        <w:t>De zonale en lokale politieverordeningen;</w:t>
      </w:r>
    </w:p>
    <w:p w14:paraId="1AA73621" w14:textId="77777777" w:rsidR="006F5BE1" w:rsidRPr="00117EC3" w:rsidRDefault="00E13602" w:rsidP="00117EC3">
      <w:pPr>
        <w:pStyle w:val="Tekstvaklabel"/>
      </w:pPr>
      <w:r>
        <w:rPr>
          <w:noProof/>
        </w:rPr>
        <w:t>Feiten, context en informatie</w:t>
      </w:r>
    </w:p>
    <w:p w14:paraId="1BD4536D" w14:textId="77777777" w:rsidR="00E13602" w:rsidRDefault="00903DC3">
      <w:pPr>
        <w:rPr>
          <w:rFonts w:cs="Arial"/>
          <w:noProof/>
        </w:rPr>
      </w:pPr>
      <w:r>
        <w:rPr>
          <w:rFonts w:cs="Arial"/>
          <w:noProof/>
        </w:rPr>
        <w:t>Geregeld ontvangen we aanvragen omtrent het uit</w:t>
      </w:r>
      <w:r>
        <w:rPr>
          <w:rFonts w:cs="Arial"/>
          <w:noProof/>
        </w:rPr>
        <w:t>baten van een ambulante handelszaak op het Iepers openbaar domein. Om alle aanvragen gelijkaardig te behandelen wordt voorgesteld hierrond een reglement op te maken, aangezien de vroegere regeling met de invoering van het Algemeen Politiereglement op zonaa</w:t>
      </w:r>
      <w:r>
        <w:rPr>
          <w:rFonts w:cs="Arial"/>
          <w:noProof/>
        </w:rPr>
        <w:t>l niveau is weggevallen.</w:t>
      </w:r>
    </w:p>
    <w:p w14:paraId="3B91425B" w14:textId="77777777" w:rsidR="00E13602" w:rsidRDefault="00903DC3">
      <w:pPr>
        <w:rPr>
          <w:rFonts w:cs="Arial"/>
          <w:noProof/>
        </w:rPr>
      </w:pPr>
      <w:r>
        <w:rPr>
          <w:rFonts w:cs="Arial"/>
          <w:noProof/>
        </w:rPr>
        <w:t>Voorgesteld wordt om naar die vroegere regeling terug te grijpen, aangezien die duidelijkheid schept en in het verleden geen problemen opleverde.</w:t>
      </w:r>
    </w:p>
    <w:p w14:paraId="4EAB7B05" w14:textId="77777777" w:rsidR="00E13602" w:rsidRDefault="00903DC3">
      <w:pPr>
        <w:rPr>
          <w:rFonts w:cs="Arial"/>
          <w:noProof/>
        </w:rPr>
      </w:pPr>
      <w:r>
        <w:rPr>
          <w:rFonts w:cs="Arial"/>
          <w:noProof/>
        </w:rPr>
        <w:t>Op voorstel van het college van burgemeester en schepenen.</w:t>
      </w:r>
    </w:p>
    <w:p w14:paraId="239B401E" w14:textId="77777777" w:rsidR="005B396D" w:rsidRPr="00B753B8" w:rsidRDefault="005B396D">
      <w:pPr>
        <w:ind w:left="993" w:hanging="993"/>
        <w:rPr>
          <w:rFonts w:cs="Arial"/>
          <w:b/>
          <w:u w:val="single"/>
        </w:rPr>
      </w:pPr>
    </w:p>
    <w:p w14:paraId="15F77573" w14:textId="77777777" w:rsidR="005B396D" w:rsidRPr="00C712E1" w:rsidRDefault="00903DC3" w:rsidP="00C712E1">
      <w:pPr>
        <w:spacing w:after="60"/>
        <w:ind w:left="992" w:hanging="992"/>
        <w:rPr>
          <w:rFonts w:cs="Arial"/>
          <w:u w:val="single"/>
        </w:rPr>
      </w:pPr>
      <w:r w:rsidRPr="00C712E1">
        <w:rPr>
          <w:rFonts w:cs="Arial"/>
          <w:u w:val="single"/>
        </w:rPr>
        <w:t xml:space="preserve">BESCHIKKEND </w:t>
      </w:r>
      <w:r w:rsidRPr="00C712E1">
        <w:rPr>
          <w:rFonts w:cs="Arial"/>
          <w:u w:val="single"/>
        </w:rPr>
        <w:t>GEDEELTE</w:t>
      </w:r>
    </w:p>
    <w:p w14:paraId="5161793E" w14:textId="77777777" w:rsidR="00A1140B" w:rsidRDefault="00903DC3" w:rsidP="005B396D">
      <w:pPr>
        <w:tabs>
          <w:tab w:val="left" w:pos="709"/>
          <w:tab w:val="left" w:pos="4942"/>
        </w:tabs>
        <w:rPr>
          <w:rFonts w:cs="Arial"/>
          <w:noProof/>
          <w:color w:val="000000"/>
          <w:szCs w:val="22"/>
        </w:rPr>
      </w:pPr>
      <w:r>
        <w:rPr>
          <w:rFonts w:cs="Arial"/>
          <w:noProof/>
          <w:color w:val="000000"/>
          <w:szCs w:val="22"/>
        </w:rPr>
        <w:t>Op basis van deze overwegingen besluit de gemeenteraad met 18 ja stemmen tegen 12 onthoudingen (de raadsleden De Roo, Laurens, Desomer, Breyne, Williams, Durnez, De Groote, Baert, Gheysens, Feys, Six en Dehollander) om de volgende voorwaarden voor</w:t>
      </w:r>
      <w:r>
        <w:rPr>
          <w:rFonts w:cs="Arial"/>
          <w:noProof/>
          <w:color w:val="000000"/>
          <w:szCs w:val="22"/>
        </w:rPr>
        <w:t xml:space="preserve"> het uitoefenen van ambulante activiteiten op het openbaar domein buiten de openbare markt goed te keuren:</w:t>
      </w:r>
    </w:p>
    <w:p w14:paraId="23752FC5" w14:textId="77777777" w:rsidR="00A1140B" w:rsidRDefault="00903DC3" w:rsidP="005B396D">
      <w:pPr>
        <w:tabs>
          <w:tab w:val="left" w:pos="709"/>
          <w:tab w:val="left" w:pos="4942"/>
        </w:tabs>
        <w:rPr>
          <w:rFonts w:cs="Arial"/>
          <w:noProof/>
          <w:color w:val="000000"/>
          <w:szCs w:val="22"/>
        </w:rPr>
      </w:pPr>
      <w:r>
        <w:rPr>
          <w:rFonts w:cs="Arial"/>
          <w:b/>
          <w:bCs/>
          <w:noProof/>
          <w:color w:val="000000"/>
          <w:szCs w:val="22"/>
          <w:u w:val="single"/>
        </w:rPr>
        <w:t>Reglement ambulante handel op het openbaar domein buiten de openbare markten</w:t>
      </w:r>
    </w:p>
    <w:p w14:paraId="61B64FC9" w14:textId="77777777" w:rsidR="00A1140B" w:rsidRDefault="00903DC3" w:rsidP="005B396D">
      <w:pPr>
        <w:tabs>
          <w:tab w:val="left" w:pos="709"/>
          <w:tab w:val="left" w:pos="4942"/>
        </w:tabs>
        <w:rPr>
          <w:rFonts w:cs="Arial"/>
          <w:noProof/>
          <w:color w:val="000000"/>
          <w:szCs w:val="22"/>
        </w:rPr>
      </w:pPr>
      <w:r>
        <w:rPr>
          <w:rFonts w:cs="Arial"/>
          <w:noProof/>
          <w:color w:val="000000"/>
          <w:szCs w:val="22"/>
          <w:u w:val="single"/>
        </w:rPr>
        <w:t>Algemene voorwaarden</w:t>
      </w:r>
    </w:p>
    <w:p w14:paraId="2A1FCD34" w14:textId="77777777" w:rsidR="00A1140B" w:rsidRDefault="00903DC3" w:rsidP="005B396D">
      <w:pPr>
        <w:tabs>
          <w:tab w:val="left" w:pos="709"/>
          <w:tab w:val="left" w:pos="4942"/>
        </w:tabs>
        <w:rPr>
          <w:rFonts w:cs="Arial"/>
          <w:noProof/>
          <w:color w:val="000000"/>
          <w:szCs w:val="22"/>
        </w:rPr>
      </w:pPr>
      <w:r>
        <w:rPr>
          <w:rFonts w:cs="Arial"/>
          <w:noProof/>
          <w:color w:val="000000"/>
          <w:szCs w:val="22"/>
        </w:rPr>
        <w:t xml:space="preserve">Art. 1.     Wie op de openbare weg een </w:t>
      </w:r>
      <w:r>
        <w:rPr>
          <w:rFonts w:cs="Arial"/>
          <w:noProof/>
          <w:color w:val="000000"/>
          <w:szCs w:val="22"/>
        </w:rPr>
        <w:t>ambulante activiteit wil uitoefenen, moet beantwoorden aan alle voorwaarden van de 'ambulante handel' wetgeving (o.a. leurkaart, uithangbord met identificatiegegevens, ...) en in het bezit zijn van een vergunning van het college van burgemeester en schepen</w:t>
      </w:r>
      <w:r>
        <w:rPr>
          <w:rFonts w:cs="Arial"/>
          <w:noProof/>
          <w:color w:val="000000"/>
          <w:szCs w:val="22"/>
        </w:rPr>
        <w:t>en.</w:t>
      </w:r>
    </w:p>
    <w:p w14:paraId="21100F0C" w14:textId="77777777" w:rsidR="00A1140B" w:rsidRDefault="00903DC3" w:rsidP="005B396D">
      <w:pPr>
        <w:tabs>
          <w:tab w:val="left" w:pos="709"/>
          <w:tab w:val="left" w:pos="4942"/>
        </w:tabs>
        <w:rPr>
          <w:rFonts w:cs="Arial"/>
          <w:noProof/>
          <w:color w:val="000000"/>
          <w:szCs w:val="22"/>
        </w:rPr>
      </w:pPr>
      <w:r>
        <w:rPr>
          <w:rFonts w:cs="Arial"/>
          <w:noProof/>
          <w:color w:val="000000"/>
          <w:szCs w:val="22"/>
        </w:rPr>
        <w:t>Bij de aanvraag voegt men alle vereiste informatie: het soort ambulante handel, omschrijving van de stand, opgave van de exacte locatie (waaronder enkele foto's), tijdstip, bewijs van de nodige verzekering(en), bewijs van keuring indien van toepassing,</w:t>
      </w:r>
      <w:r>
        <w:rPr>
          <w:rFonts w:cs="Arial"/>
          <w:noProof/>
          <w:color w:val="000000"/>
          <w:szCs w:val="22"/>
        </w:rPr>
        <w:t xml:space="preserve"> enz.</w:t>
      </w:r>
    </w:p>
    <w:p w14:paraId="001DF9F5" w14:textId="77777777" w:rsidR="00A1140B" w:rsidRDefault="00903DC3" w:rsidP="005B396D">
      <w:pPr>
        <w:tabs>
          <w:tab w:val="left" w:pos="709"/>
          <w:tab w:val="left" w:pos="4942"/>
        </w:tabs>
        <w:rPr>
          <w:rFonts w:cs="Arial"/>
          <w:noProof/>
          <w:color w:val="000000"/>
          <w:szCs w:val="22"/>
        </w:rPr>
      </w:pPr>
      <w:r>
        <w:rPr>
          <w:rFonts w:cs="Arial"/>
          <w:noProof/>
          <w:color w:val="000000"/>
          <w:szCs w:val="22"/>
        </w:rPr>
        <w:t>Art. 2.     Wie ambulante handel op rondtrekkende wijze wenst uit te oefenen moet dit voorafgaand aanvragen bij het college van burgemeester en schepenen. Ambulante handel op rondtrekkende wijze neemt geen vaste standplaats in en mag enkel stoppen om</w:t>
      </w:r>
      <w:r>
        <w:rPr>
          <w:rFonts w:cs="Arial"/>
          <w:noProof/>
          <w:color w:val="000000"/>
          <w:szCs w:val="22"/>
        </w:rPr>
        <w:t xml:space="preserve"> te verkopen op uitnodiging van de klant.</w:t>
      </w:r>
    </w:p>
    <w:p w14:paraId="190AE121" w14:textId="77777777" w:rsidR="00A1140B" w:rsidRDefault="00903DC3" w:rsidP="005B396D">
      <w:pPr>
        <w:tabs>
          <w:tab w:val="left" w:pos="709"/>
          <w:tab w:val="left" w:pos="4942"/>
        </w:tabs>
        <w:rPr>
          <w:rFonts w:cs="Arial"/>
          <w:noProof/>
          <w:color w:val="000000"/>
          <w:szCs w:val="22"/>
        </w:rPr>
      </w:pPr>
      <w:r>
        <w:rPr>
          <w:rFonts w:cs="Arial"/>
          <w:noProof/>
          <w:color w:val="000000"/>
          <w:szCs w:val="22"/>
        </w:rPr>
        <w:t>Art. 3.     Wie op de openbare weg een ambulante activiteit wenst uit te oefenen door gebruik te maken van een vaste standplaats, moet dit bovendien minstens 14 dagen vooraf aanvragen bij het college van burgemeest</w:t>
      </w:r>
      <w:r>
        <w:rPr>
          <w:rFonts w:cs="Arial"/>
          <w:noProof/>
          <w:color w:val="000000"/>
          <w:szCs w:val="22"/>
        </w:rPr>
        <w:t>er en schepenen.</w:t>
      </w:r>
    </w:p>
    <w:p w14:paraId="516B8083" w14:textId="77777777" w:rsidR="00A1140B" w:rsidRDefault="00903DC3" w:rsidP="005B396D">
      <w:pPr>
        <w:tabs>
          <w:tab w:val="left" w:pos="709"/>
          <w:tab w:val="left" w:pos="4942"/>
        </w:tabs>
        <w:rPr>
          <w:rFonts w:cs="Arial"/>
          <w:noProof/>
          <w:color w:val="000000"/>
          <w:szCs w:val="22"/>
        </w:rPr>
      </w:pPr>
      <w:r>
        <w:rPr>
          <w:rFonts w:cs="Arial"/>
          <w:noProof/>
          <w:color w:val="000000"/>
          <w:szCs w:val="22"/>
        </w:rPr>
        <w:t>Onder een vaste standplaats wordt begrepen een plaats op de openbare weg waar een ambulante handelaar door middel van een winkelwagen, marktkraam of andere inrichting gedurende een periode langer dan 15 minuten zijn activiteiten uitoefent.</w:t>
      </w:r>
      <w:r>
        <w:rPr>
          <w:rFonts w:cs="Arial"/>
          <w:noProof/>
          <w:color w:val="000000"/>
          <w:szCs w:val="22"/>
        </w:rPr>
        <w:t xml:space="preserve"> Na een periode van 15 minuten mag geen nieuwe standplaats worden ingenomen binnen een straal van 50 meter van de vorige standplaats en evenmin mag tweemaal eenzelfde plaats per dag bezet worden.</w:t>
      </w:r>
    </w:p>
    <w:p w14:paraId="242DFB6A" w14:textId="77777777" w:rsidR="00A1140B" w:rsidRDefault="00903DC3" w:rsidP="005B396D">
      <w:pPr>
        <w:tabs>
          <w:tab w:val="left" w:pos="709"/>
          <w:tab w:val="left" w:pos="4942"/>
        </w:tabs>
        <w:rPr>
          <w:rFonts w:cs="Arial"/>
          <w:noProof/>
          <w:color w:val="000000"/>
          <w:szCs w:val="22"/>
        </w:rPr>
      </w:pPr>
      <w:r>
        <w:rPr>
          <w:rFonts w:cs="Arial"/>
          <w:noProof/>
          <w:color w:val="000000"/>
          <w:szCs w:val="22"/>
        </w:rPr>
        <w:t>Ambulante beoefenaars met een vaste standplaats betalen hier</w:t>
      </w:r>
      <w:r>
        <w:rPr>
          <w:rFonts w:cs="Arial"/>
          <w:noProof/>
          <w:color w:val="000000"/>
          <w:szCs w:val="22"/>
        </w:rPr>
        <w:t>voor een standgeld van 2,00 EUR/m².</w:t>
      </w:r>
    </w:p>
    <w:p w14:paraId="1312C4B0" w14:textId="77777777" w:rsidR="00A1140B" w:rsidRDefault="00903DC3" w:rsidP="005B396D">
      <w:pPr>
        <w:tabs>
          <w:tab w:val="left" w:pos="709"/>
          <w:tab w:val="left" w:pos="4942"/>
        </w:tabs>
        <w:rPr>
          <w:rFonts w:cs="Arial"/>
          <w:noProof/>
          <w:color w:val="000000"/>
          <w:szCs w:val="22"/>
        </w:rPr>
      </w:pPr>
      <w:r>
        <w:rPr>
          <w:rFonts w:cs="Arial"/>
          <w:noProof/>
          <w:color w:val="000000"/>
          <w:szCs w:val="22"/>
        </w:rPr>
        <w:t>Art. 4.     Behalve in uitzonderlijke gevallen (evenementen en dergelijke) die worden goedgekeurd door het college van burgemeester en schepenen, is het verboden ambulante activiteiten uit te oefenen:</w:t>
      </w:r>
    </w:p>
    <w:p w14:paraId="521049BC" w14:textId="77777777" w:rsidR="00A1140B" w:rsidRDefault="00903DC3" w:rsidP="005B396D">
      <w:pPr>
        <w:numPr>
          <w:ilvl w:val="0"/>
          <w:numId w:val="1"/>
        </w:numPr>
        <w:rPr>
          <w:rFonts w:cs="Arial"/>
          <w:noProof/>
          <w:color w:val="000000"/>
          <w:szCs w:val="22"/>
        </w:rPr>
      </w:pPr>
      <w:r>
        <w:rPr>
          <w:rFonts w:cs="Arial"/>
          <w:noProof/>
          <w:color w:val="000000"/>
          <w:szCs w:val="22"/>
        </w:rPr>
        <w:t>op de Grote Markt b</w:t>
      </w:r>
      <w:r>
        <w:rPr>
          <w:rFonts w:cs="Arial"/>
          <w:noProof/>
          <w:color w:val="000000"/>
          <w:szCs w:val="22"/>
        </w:rPr>
        <w:t>uiten de marktdagen</w:t>
      </w:r>
    </w:p>
    <w:p w14:paraId="55E99B2B" w14:textId="77777777" w:rsidR="00A1140B" w:rsidRDefault="00903DC3" w:rsidP="005B396D">
      <w:pPr>
        <w:numPr>
          <w:ilvl w:val="0"/>
          <w:numId w:val="1"/>
        </w:numPr>
        <w:rPr>
          <w:rFonts w:cs="Arial"/>
          <w:noProof/>
          <w:color w:val="000000"/>
          <w:szCs w:val="22"/>
        </w:rPr>
      </w:pPr>
      <w:r>
        <w:rPr>
          <w:rFonts w:cs="Arial"/>
          <w:noProof/>
          <w:color w:val="000000"/>
          <w:szCs w:val="22"/>
        </w:rPr>
        <w:t>op de vestingen</w:t>
      </w:r>
    </w:p>
    <w:p w14:paraId="7DF2B3B5" w14:textId="77777777" w:rsidR="00A1140B" w:rsidRDefault="00903DC3" w:rsidP="005B396D">
      <w:pPr>
        <w:numPr>
          <w:ilvl w:val="0"/>
          <w:numId w:val="1"/>
        </w:numPr>
        <w:rPr>
          <w:rFonts w:cs="Arial"/>
          <w:noProof/>
          <w:color w:val="000000"/>
          <w:szCs w:val="22"/>
        </w:rPr>
      </w:pPr>
      <w:r>
        <w:rPr>
          <w:rFonts w:cs="Arial"/>
          <w:noProof/>
          <w:color w:val="000000"/>
          <w:szCs w:val="22"/>
        </w:rPr>
        <w:t>op minder dan 50 meter van de Menenpoort</w:t>
      </w:r>
    </w:p>
    <w:p w14:paraId="62E526F4" w14:textId="77777777" w:rsidR="00A1140B" w:rsidRDefault="00903DC3" w:rsidP="005B396D">
      <w:pPr>
        <w:numPr>
          <w:ilvl w:val="0"/>
          <w:numId w:val="1"/>
        </w:numPr>
        <w:rPr>
          <w:rFonts w:cs="Arial"/>
          <w:noProof/>
          <w:color w:val="000000"/>
          <w:szCs w:val="22"/>
        </w:rPr>
      </w:pPr>
      <w:r>
        <w:rPr>
          <w:rFonts w:cs="Arial"/>
          <w:noProof/>
          <w:color w:val="000000"/>
          <w:szCs w:val="22"/>
        </w:rPr>
        <w:t>in alle bebouwde kommen van de gemeente Ieper</w:t>
      </w:r>
    </w:p>
    <w:p w14:paraId="0C1456C1" w14:textId="77777777" w:rsidR="00A1140B" w:rsidRDefault="00903DC3" w:rsidP="005B396D">
      <w:pPr>
        <w:tabs>
          <w:tab w:val="left" w:pos="709"/>
          <w:tab w:val="left" w:pos="4942"/>
        </w:tabs>
        <w:rPr>
          <w:rFonts w:cs="Arial"/>
          <w:noProof/>
          <w:color w:val="000000"/>
          <w:szCs w:val="22"/>
        </w:rPr>
      </w:pPr>
      <w:r>
        <w:rPr>
          <w:rFonts w:cs="Arial"/>
          <w:noProof/>
          <w:color w:val="000000"/>
          <w:szCs w:val="22"/>
        </w:rPr>
        <w:t xml:space="preserve">Art. 5.     Het is de ambulante verkopers verboden hun voertuig te verlaten of het te laten stilstaan op de openbare weg, langer dan </w:t>
      </w:r>
      <w:r>
        <w:rPr>
          <w:rFonts w:cs="Arial"/>
          <w:noProof/>
          <w:color w:val="000000"/>
          <w:szCs w:val="22"/>
        </w:rPr>
        <w:t>de tijd die nodig is om hun waren af te leveren. Als zij daarom stilstaan, moeten zij hun voertuig zodanig plaatsen dat dit het verkeer niet hindert.</w:t>
      </w:r>
    </w:p>
    <w:p w14:paraId="0350E41D" w14:textId="77777777" w:rsidR="00A1140B" w:rsidRDefault="00903DC3" w:rsidP="005B396D">
      <w:pPr>
        <w:tabs>
          <w:tab w:val="left" w:pos="709"/>
          <w:tab w:val="left" w:pos="4942"/>
        </w:tabs>
        <w:rPr>
          <w:rFonts w:cs="Arial"/>
          <w:noProof/>
          <w:color w:val="000000"/>
          <w:szCs w:val="22"/>
        </w:rPr>
      </w:pPr>
      <w:r>
        <w:rPr>
          <w:rFonts w:cs="Arial"/>
          <w:noProof/>
          <w:color w:val="000000"/>
          <w:szCs w:val="22"/>
        </w:rPr>
        <w:t>Art. 6.     Het is de leurders, venters of opkopers verboden:</w:t>
      </w:r>
    </w:p>
    <w:p w14:paraId="514BD046" w14:textId="77777777" w:rsidR="00A1140B" w:rsidRDefault="00903DC3" w:rsidP="005B396D">
      <w:pPr>
        <w:numPr>
          <w:ilvl w:val="0"/>
          <w:numId w:val="2"/>
        </w:numPr>
        <w:rPr>
          <w:rFonts w:cs="Arial"/>
          <w:noProof/>
          <w:color w:val="000000"/>
          <w:szCs w:val="22"/>
        </w:rPr>
      </w:pPr>
      <w:r>
        <w:rPr>
          <w:rFonts w:cs="Arial"/>
          <w:noProof/>
          <w:color w:val="000000"/>
          <w:szCs w:val="22"/>
        </w:rPr>
        <w:t>personen lastig te vallen of te volgen</w:t>
      </w:r>
    </w:p>
    <w:p w14:paraId="6481FFEC" w14:textId="77777777" w:rsidR="00A1140B" w:rsidRDefault="00903DC3" w:rsidP="005B396D">
      <w:pPr>
        <w:numPr>
          <w:ilvl w:val="0"/>
          <w:numId w:val="2"/>
        </w:numPr>
        <w:rPr>
          <w:rFonts w:cs="Arial"/>
          <w:noProof/>
          <w:color w:val="000000"/>
          <w:szCs w:val="22"/>
        </w:rPr>
      </w:pPr>
      <w:r>
        <w:rPr>
          <w:rFonts w:cs="Arial"/>
          <w:noProof/>
          <w:color w:val="000000"/>
          <w:szCs w:val="22"/>
        </w:rPr>
        <w:t>ongev</w:t>
      </w:r>
      <w:r>
        <w:rPr>
          <w:rFonts w:cs="Arial"/>
          <w:noProof/>
          <w:color w:val="000000"/>
          <w:szCs w:val="22"/>
        </w:rPr>
        <w:t>raagd gebouwen binnen te gaan om er hun waren te koop aan te bieden</w:t>
      </w:r>
    </w:p>
    <w:p w14:paraId="6A43E031" w14:textId="77777777" w:rsidR="00A1140B" w:rsidRDefault="00903DC3" w:rsidP="005B396D">
      <w:pPr>
        <w:numPr>
          <w:ilvl w:val="0"/>
          <w:numId w:val="2"/>
        </w:numPr>
        <w:rPr>
          <w:rFonts w:cs="Arial"/>
          <w:noProof/>
          <w:color w:val="000000"/>
          <w:szCs w:val="22"/>
        </w:rPr>
      </w:pPr>
      <w:r>
        <w:rPr>
          <w:rFonts w:cs="Arial"/>
          <w:noProof/>
          <w:color w:val="000000"/>
          <w:szCs w:val="22"/>
        </w:rPr>
        <w:t>hun aanwezigheid op aanhoudend luidruchtige manier aan te kondigen</w:t>
      </w:r>
    </w:p>
    <w:p w14:paraId="48FCA160" w14:textId="77777777" w:rsidR="00A1140B" w:rsidRDefault="00903DC3" w:rsidP="005B396D">
      <w:pPr>
        <w:tabs>
          <w:tab w:val="left" w:pos="709"/>
          <w:tab w:val="left" w:pos="4942"/>
        </w:tabs>
        <w:rPr>
          <w:rFonts w:cs="Arial"/>
          <w:noProof/>
          <w:color w:val="000000"/>
          <w:szCs w:val="22"/>
        </w:rPr>
      </w:pPr>
      <w:r>
        <w:rPr>
          <w:rFonts w:cs="Arial"/>
          <w:noProof/>
          <w:color w:val="000000"/>
          <w:szCs w:val="22"/>
        </w:rPr>
        <w:t>Art. 7 .    Adviezen omtrent de veiligheid, afkomstig van politie, brandweer of andere overheidsinstanties, primeren op w</w:t>
      </w:r>
      <w:r>
        <w:rPr>
          <w:rFonts w:cs="Arial"/>
          <w:noProof/>
          <w:color w:val="000000"/>
          <w:szCs w:val="22"/>
        </w:rPr>
        <w:t>at toegelaten wordt in dit reglement en kunnen steeds beperkingen opleggen.</w:t>
      </w:r>
    </w:p>
    <w:p w14:paraId="1EC7B718" w14:textId="77777777" w:rsidR="00A1140B" w:rsidRDefault="00903DC3" w:rsidP="005B396D">
      <w:pPr>
        <w:tabs>
          <w:tab w:val="left" w:pos="709"/>
          <w:tab w:val="left" w:pos="4942"/>
        </w:tabs>
        <w:rPr>
          <w:rFonts w:cs="Arial"/>
          <w:noProof/>
          <w:color w:val="000000"/>
          <w:szCs w:val="22"/>
        </w:rPr>
      </w:pPr>
      <w:r>
        <w:rPr>
          <w:rFonts w:cs="Arial"/>
          <w:noProof/>
          <w:color w:val="000000"/>
          <w:szCs w:val="22"/>
        </w:rPr>
        <w:t>Art. 8.     De houders van een vergunning voor het uitoefenen van ambulante handel leven strikt de bepalingen na van de zonale en lokale politieverordeningen. Zij houden zich strik</w:t>
      </w:r>
      <w:r>
        <w:rPr>
          <w:rFonts w:cs="Arial"/>
          <w:noProof/>
          <w:color w:val="000000"/>
          <w:szCs w:val="22"/>
        </w:rPr>
        <w:t>t aan alle andere van toepassing zijnde reglementeringen teneinde de rechten van derden onverkort te laten. Voor het openbaar domein dat beheerd wordt door het Vlaams Gewest zullen ook de voorschriften, opgelegd door het Agentschap Wegen en Verkeer, opgevo</w:t>
      </w:r>
      <w:r>
        <w:rPr>
          <w:rFonts w:cs="Arial"/>
          <w:noProof/>
          <w:color w:val="000000"/>
          <w:szCs w:val="22"/>
        </w:rPr>
        <w:t>lgd worden. Een bijkomende vergunning van bovenvermelde administratie is vereist.</w:t>
      </w:r>
    </w:p>
    <w:p w14:paraId="6EC7D7AD" w14:textId="77777777" w:rsidR="00A1140B" w:rsidRDefault="00903DC3" w:rsidP="005B396D">
      <w:pPr>
        <w:tabs>
          <w:tab w:val="left" w:pos="709"/>
          <w:tab w:val="left" w:pos="4942"/>
        </w:tabs>
        <w:rPr>
          <w:rFonts w:cs="Arial"/>
          <w:noProof/>
          <w:color w:val="000000"/>
          <w:szCs w:val="22"/>
        </w:rPr>
      </w:pPr>
      <w:r>
        <w:rPr>
          <w:rFonts w:cs="Arial"/>
          <w:noProof/>
          <w:color w:val="000000"/>
          <w:szCs w:val="22"/>
        </w:rPr>
        <w:t xml:space="preserve">Art. 9.     Verankering in het openbaar domein wordt niet toegelaten. De uitbater moet alles in het werk stellen om verontreiniging van het openbaar domein te </w:t>
      </w:r>
      <w:r>
        <w:rPr>
          <w:rFonts w:cs="Arial"/>
          <w:noProof/>
          <w:color w:val="000000"/>
          <w:szCs w:val="22"/>
        </w:rPr>
        <w:t>vermijden. Na de uitbating wordt alle afval opgeruimd. Alle voorzorgsmaatregelen moeten worden genomen om ongevallen of ongemak voor gebruikers en niet-gebruikers te voorkomen. De houder van een vergunning blijft verantwoordelijk voor alle schade aan derde</w:t>
      </w:r>
      <w:r>
        <w:rPr>
          <w:rFonts w:cs="Arial"/>
          <w:noProof/>
          <w:color w:val="000000"/>
          <w:szCs w:val="22"/>
        </w:rPr>
        <w:t>n of aan het openbaar domein of voor ongevallen, die het gevolg zouden zijn van het plaatsen van de marktwagen, foodtruck, winkelwagen enz.</w:t>
      </w:r>
    </w:p>
    <w:p w14:paraId="03A9FE63" w14:textId="77777777" w:rsidR="00A1140B" w:rsidRDefault="00903DC3" w:rsidP="005B396D">
      <w:pPr>
        <w:tabs>
          <w:tab w:val="left" w:pos="709"/>
          <w:tab w:val="left" w:pos="4942"/>
        </w:tabs>
        <w:rPr>
          <w:rFonts w:cs="Arial"/>
          <w:noProof/>
          <w:color w:val="000000"/>
          <w:szCs w:val="22"/>
        </w:rPr>
      </w:pPr>
      <w:r>
        <w:rPr>
          <w:rFonts w:cs="Arial"/>
          <w:noProof/>
          <w:color w:val="000000"/>
          <w:szCs w:val="22"/>
          <w:u w:val="single"/>
        </w:rPr>
        <w:t>Overtredingen</w:t>
      </w:r>
    </w:p>
    <w:p w14:paraId="2B90DD3B" w14:textId="77777777" w:rsidR="00A1140B" w:rsidRDefault="00903DC3" w:rsidP="005B396D">
      <w:pPr>
        <w:tabs>
          <w:tab w:val="left" w:pos="709"/>
          <w:tab w:val="left" w:pos="4942"/>
        </w:tabs>
        <w:rPr>
          <w:rFonts w:cs="Arial"/>
          <w:noProof/>
          <w:color w:val="000000"/>
          <w:szCs w:val="22"/>
        </w:rPr>
      </w:pPr>
      <w:r>
        <w:rPr>
          <w:rFonts w:cs="Arial"/>
          <w:noProof/>
          <w:color w:val="000000"/>
          <w:szCs w:val="22"/>
        </w:rPr>
        <w:t>Art. 10.1. In geval van overtreding van dit reglement kan de politie de overtreder aanmanen om de niet</w:t>
      </w:r>
      <w:r>
        <w:rPr>
          <w:rFonts w:cs="Arial"/>
          <w:noProof/>
          <w:color w:val="000000"/>
          <w:szCs w:val="22"/>
        </w:rPr>
        <w:t>-reglementaire toestand ongedaan te maken. De politie is bevoegd voor de vaststelling van alle overtredingen vervat in onderhavig reglement.</w:t>
      </w:r>
      <w:r>
        <w:rPr>
          <w:rFonts w:cs="Arial"/>
          <w:noProof/>
          <w:color w:val="000000"/>
          <w:szCs w:val="22"/>
        </w:rPr>
        <w:br/>
      </w:r>
      <w:r>
        <w:rPr>
          <w:rFonts w:cs="Arial"/>
          <w:noProof/>
          <w:color w:val="000000"/>
          <w:szCs w:val="22"/>
        </w:rPr>
        <w:br/>
        <w:t>Ingevolge het artikel 119bis, §6 Nieuwe Gemeentewet kunnen inbreuken die uitsluitend bestraft worden met een admin</w:t>
      </w:r>
      <w:r>
        <w:rPr>
          <w:rFonts w:cs="Arial"/>
          <w:noProof/>
          <w:color w:val="000000"/>
          <w:szCs w:val="22"/>
        </w:rPr>
        <w:t xml:space="preserve">istratieve sanctie eveneens het voorwerp uitmaken van een vaststelling door de hiernavolgende personen : </w:t>
      </w:r>
      <w:r>
        <w:rPr>
          <w:rFonts w:cs="Arial"/>
          <w:noProof/>
          <w:color w:val="000000"/>
          <w:szCs w:val="22"/>
        </w:rPr>
        <w:br/>
        <w:t xml:space="preserve">1° de gemeenteambtenaren die beantwoorden aan de minimumvoorwaarden die door de Koning bij een besluit vastgesteld na overleg in de Ministerraad zijn </w:t>
      </w:r>
      <w:r>
        <w:rPr>
          <w:rFonts w:cs="Arial"/>
          <w:noProof/>
          <w:color w:val="000000"/>
          <w:szCs w:val="22"/>
        </w:rPr>
        <w:t xml:space="preserve">bepaald inzake selectie, rekrutering, opleiding en bevoegdheid, en die daartoe door de gemeenteraad zijn aangewezen; </w:t>
      </w:r>
      <w:r>
        <w:rPr>
          <w:rFonts w:cs="Arial"/>
          <w:noProof/>
          <w:color w:val="000000"/>
          <w:szCs w:val="22"/>
        </w:rPr>
        <w:br/>
        <w:t>2° de ambtenaren van de vervoersmaatschappijen behorend tot één van de categorieën bepaald door de Koning. De bewakingsagenten, daartoe aa</w:t>
      </w:r>
      <w:r>
        <w:rPr>
          <w:rFonts w:cs="Arial"/>
          <w:noProof/>
          <w:color w:val="000000"/>
          <w:szCs w:val="22"/>
        </w:rPr>
        <w:t>ngesteld door de gemeenteraad, kunnen eveneens aangifte doen van de inbreuken die uitsluitend bestraft kunnen worden met administratieve sancties, bij de politieambtenaar of hulpagent van politie bedoeld in het eerste lid en dit enkel in het kader van de a</w:t>
      </w:r>
      <w:r>
        <w:rPr>
          <w:rFonts w:cs="Arial"/>
          <w:noProof/>
          <w:color w:val="000000"/>
          <w:szCs w:val="22"/>
        </w:rPr>
        <w:t xml:space="preserve">ctiviteiten bedoeld in artikel 1, §1, eerste lid, 6° van de wet van 10 april 1990 op de bewakingsondernemingen, de beveiligingsondernemingen en de interne bewakingsdiensten. </w:t>
      </w:r>
      <w:r>
        <w:rPr>
          <w:rFonts w:cs="Arial"/>
          <w:noProof/>
          <w:color w:val="000000"/>
          <w:szCs w:val="22"/>
        </w:rPr>
        <w:br/>
      </w:r>
      <w:r>
        <w:rPr>
          <w:rFonts w:cs="Arial"/>
          <w:noProof/>
          <w:color w:val="000000"/>
          <w:szCs w:val="22"/>
        </w:rPr>
        <w:br/>
        <w:t>Art. 10.2. Voor zover bij wetten, decreten, besluiten, algemene of provinciale v</w:t>
      </w:r>
      <w:r>
        <w:rPr>
          <w:rFonts w:cs="Arial"/>
          <w:noProof/>
          <w:color w:val="000000"/>
          <w:szCs w:val="22"/>
        </w:rPr>
        <w:t xml:space="preserve">erordeningen geen straffen of sancties zijn voorzien, kunnen de inbreuken op de bepalingen van deze politieverordening gestraft worden met : </w:t>
      </w:r>
      <w:r>
        <w:rPr>
          <w:rFonts w:cs="Arial"/>
          <w:noProof/>
          <w:color w:val="000000"/>
          <w:szCs w:val="22"/>
        </w:rPr>
        <w:br/>
        <w:t xml:space="preserve">1° een administratieve geldboete van maximum 350,00 EUR </w:t>
      </w:r>
      <w:r>
        <w:rPr>
          <w:rFonts w:cs="Arial"/>
          <w:noProof/>
          <w:color w:val="000000"/>
          <w:szCs w:val="22"/>
        </w:rPr>
        <w:br/>
        <w:t>2° een administratieve schorsing van een afgeleverde toel</w:t>
      </w:r>
      <w:r>
        <w:rPr>
          <w:rFonts w:cs="Arial"/>
          <w:noProof/>
          <w:color w:val="000000"/>
          <w:szCs w:val="22"/>
        </w:rPr>
        <w:t xml:space="preserve">ating of vergunning </w:t>
      </w:r>
      <w:r>
        <w:rPr>
          <w:rFonts w:cs="Arial"/>
          <w:noProof/>
          <w:color w:val="000000"/>
          <w:szCs w:val="22"/>
        </w:rPr>
        <w:br/>
        <w:t xml:space="preserve">3° een administratieve intrekking van een afgeleverde toelating of vergunning </w:t>
      </w:r>
      <w:r>
        <w:rPr>
          <w:rFonts w:cs="Arial"/>
          <w:noProof/>
          <w:color w:val="000000"/>
          <w:szCs w:val="22"/>
        </w:rPr>
        <w:br/>
        <w:t>4° een tijdelijke of definitieve sluiting van een instelling. Indien de dader een minderjarige is, die de volle leeftijd van zestien jaar heeft bereikt op h</w:t>
      </w:r>
      <w:r>
        <w:rPr>
          <w:rFonts w:cs="Arial"/>
          <w:noProof/>
          <w:color w:val="000000"/>
          <w:szCs w:val="22"/>
        </w:rPr>
        <w:t xml:space="preserve">et tijdstip van de feiten, bedraagt het maximum van de administratieve geldboete 175,00 EUR. </w:t>
      </w:r>
      <w:r>
        <w:rPr>
          <w:rFonts w:cs="Arial"/>
          <w:noProof/>
          <w:color w:val="000000"/>
          <w:szCs w:val="22"/>
        </w:rPr>
        <w:br/>
      </w:r>
      <w:r>
        <w:rPr>
          <w:rFonts w:cs="Arial"/>
          <w:noProof/>
          <w:color w:val="000000"/>
          <w:szCs w:val="22"/>
        </w:rPr>
        <w:br/>
        <w:t>De schorsing, intrekking of sluiting worden opgelegd door het college van burgemeester en schepenen. De administratieve geldboete wordt opgelegd door de sanction</w:t>
      </w:r>
      <w:r>
        <w:rPr>
          <w:rFonts w:cs="Arial"/>
          <w:noProof/>
          <w:color w:val="000000"/>
          <w:szCs w:val="22"/>
        </w:rPr>
        <w:t xml:space="preserve">erende ambtenaar. </w:t>
      </w:r>
      <w:r>
        <w:rPr>
          <w:rFonts w:cs="Arial"/>
          <w:noProof/>
          <w:color w:val="000000"/>
          <w:szCs w:val="22"/>
        </w:rPr>
        <w:br/>
      </w:r>
      <w:r>
        <w:rPr>
          <w:rFonts w:cs="Arial"/>
          <w:noProof/>
          <w:color w:val="000000"/>
          <w:szCs w:val="22"/>
        </w:rPr>
        <w:br/>
        <w:t xml:space="preserve">Het opleggen van administratieve sancties of politiestraffen doet op geen enkele manier afbreuk aan de mogelijke schadevergoeding die verschuldigd is door de begane overtredingen. </w:t>
      </w:r>
      <w:r>
        <w:rPr>
          <w:rFonts w:cs="Arial"/>
          <w:noProof/>
          <w:color w:val="000000"/>
          <w:szCs w:val="22"/>
        </w:rPr>
        <w:br/>
      </w:r>
      <w:r>
        <w:rPr>
          <w:rFonts w:cs="Arial"/>
          <w:noProof/>
          <w:color w:val="000000"/>
          <w:szCs w:val="22"/>
        </w:rPr>
        <w:br/>
        <w:t>Art. 10.3. De aangewezen ambtenaar is de algemeen dire</w:t>
      </w:r>
      <w:r>
        <w:rPr>
          <w:rFonts w:cs="Arial"/>
          <w:noProof/>
          <w:color w:val="000000"/>
          <w:szCs w:val="22"/>
        </w:rPr>
        <w:t xml:space="preserve">cteur van de gemeente Ieper of zijn aangestelde. </w:t>
      </w:r>
      <w:r>
        <w:rPr>
          <w:rFonts w:cs="Arial"/>
          <w:noProof/>
          <w:color w:val="000000"/>
          <w:szCs w:val="22"/>
        </w:rPr>
        <w:br/>
      </w:r>
      <w:r>
        <w:rPr>
          <w:rFonts w:cs="Arial"/>
          <w:noProof/>
          <w:color w:val="000000"/>
          <w:szCs w:val="22"/>
        </w:rPr>
        <w:br/>
        <w:t>Art. 10.4. De persoon die, na met een administratieve geldboete te zijn gesanctioneerd, eenzelfde overtreding begaat binnen de 24 maanden nadat ze uitvoerbare kracht heeft gekregen overeenkomstig artikel 1</w:t>
      </w:r>
      <w:r>
        <w:rPr>
          <w:rFonts w:cs="Arial"/>
          <w:noProof/>
          <w:color w:val="000000"/>
          <w:szCs w:val="22"/>
        </w:rPr>
        <w:t>19bis, § 11, Nieuwe Gemeentewet, wordt gesanctioneerd met het dubbele van de geldboete die bij de eerste overtreding werd opgelegd, met een maximum van 350,00 EUR of 175,00 EUR indien het een minderjarige betreft die de volle leeftijd van 16 jaar heeft ber</w:t>
      </w:r>
      <w:r>
        <w:rPr>
          <w:rFonts w:cs="Arial"/>
          <w:noProof/>
          <w:color w:val="000000"/>
          <w:szCs w:val="22"/>
        </w:rPr>
        <w:t xml:space="preserve">eikt. </w:t>
      </w:r>
      <w:r>
        <w:rPr>
          <w:rFonts w:cs="Arial"/>
          <w:noProof/>
          <w:color w:val="000000"/>
          <w:szCs w:val="22"/>
        </w:rPr>
        <w:br/>
      </w:r>
      <w:r>
        <w:rPr>
          <w:rFonts w:cs="Arial"/>
          <w:noProof/>
          <w:color w:val="000000"/>
          <w:szCs w:val="22"/>
        </w:rPr>
        <w:br/>
        <w:t>De persoon, eigenaar van een instelling, aan wie reeds tweemaal een administratieve boete werd opgelegd naar aanleiding van een overtreding die verband houdt met die instelling, zal worden gesanctioneerd met de administratieve sluiting van de inste</w:t>
      </w:r>
      <w:r>
        <w:rPr>
          <w:rFonts w:cs="Arial"/>
          <w:noProof/>
          <w:color w:val="000000"/>
          <w:szCs w:val="22"/>
        </w:rPr>
        <w:t xml:space="preserve">lling gedurende een termijn van maximum drie maanden. </w:t>
      </w:r>
      <w:r>
        <w:rPr>
          <w:rFonts w:cs="Arial"/>
          <w:noProof/>
          <w:color w:val="000000"/>
          <w:szCs w:val="22"/>
        </w:rPr>
        <w:br/>
      </w:r>
      <w:r>
        <w:rPr>
          <w:rFonts w:cs="Arial"/>
          <w:noProof/>
          <w:color w:val="000000"/>
          <w:szCs w:val="22"/>
        </w:rPr>
        <w:br/>
        <w:t>De duur van de door het college van burgemeester en schepenen goedgekeurde administratieve sanctie kan verdubbeld worden in geval van herhaling binnen de 24 maanden volgend op de oplegging van de sanc</w:t>
      </w:r>
      <w:r>
        <w:rPr>
          <w:rFonts w:cs="Arial"/>
          <w:noProof/>
          <w:color w:val="000000"/>
          <w:szCs w:val="22"/>
        </w:rPr>
        <w:t xml:space="preserve">tie en is dubbel van de administratieve boete met een max. van 350,00 EUR of 175,00 EUR euro minderjarige van meer dan 16 jaar. </w:t>
      </w:r>
      <w:r>
        <w:rPr>
          <w:rFonts w:cs="Arial"/>
          <w:noProof/>
          <w:color w:val="000000"/>
          <w:szCs w:val="22"/>
        </w:rPr>
        <w:br/>
      </w:r>
      <w:r>
        <w:rPr>
          <w:rFonts w:cs="Arial"/>
          <w:noProof/>
          <w:color w:val="000000"/>
          <w:szCs w:val="22"/>
        </w:rPr>
        <w:br/>
        <w:t xml:space="preserve">Art. 10.5. Elke overtreding die aanleiding kan geven tot het opleggen van een administratieve sanctie moet worden vastgesteld </w:t>
      </w:r>
      <w:r>
        <w:rPr>
          <w:rFonts w:cs="Arial"/>
          <w:noProof/>
          <w:color w:val="000000"/>
          <w:szCs w:val="22"/>
        </w:rPr>
        <w:t>door middel van een proces-verbaal of een bestuurlijk verslag. Dit proces-verbaal of dit bestuurlijk verslag wordt binnen de maand bezorgd aan de sanctionerende ambtenaar, zoals bepaald in artikel 119bis Nieuwe Gemeentewet. Indien het proces-verbaal of het</w:t>
      </w:r>
      <w:r>
        <w:rPr>
          <w:rFonts w:cs="Arial"/>
          <w:noProof/>
          <w:color w:val="000000"/>
          <w:szCs w:val="22"/>
        </w:rPr>
        <w:t xml:space="preserve"> bestuurlijk verslag onvoldoende gegevens zou bevatten, kan de sanctionerende ambtenaar de politiediensten verzoeken die gegevens, eventueel na bijkomend onderzoek, nog toe te voegen aan het dossier. </w:t>
      </w:r>
      <w:r>
        <w:rPr>
          <w:rFonts w:cs="Arial"/>
          <w:noProof/>
          <w:color w:val="000000"/>
          <w:szCs w:val="22"/>
        </w:rPr>
        <w:br/>
      </w:r>
      <w:r>
        <w:rPr>
          <w:rFonts w:cs="Arial"/>
          <w:noProof/>
          <w:color w:val="000000"/>
          <w:szCs w:val="22"/>
        </w:rPr>
        <w:br/>
        <w:t>Art. 10.6. Indien de feiten zowel een strafrechtelijke</w:t>
      </w:r>
      <w:r>
        <w:rPr>
          <w:rFonts w:cs="Arial"/>
          <w:noProof/>
          <w:color w:val="000000"/>
          <w:szCs w:val="22"/>
        </w:rPr>
        <w:t xml:space="preserve"> als een administratiefrechtelijke inbreuk vormen, wordt het proces-verbaal binnen de maand na de vaststelling, toegestuurd aan de procureur des Konings. Een afschrift wordt verzonden aan de sanctionerende ambtenaar. Indien de feiten enkel met een administ</w:t>
      </w:r>
      <w:r>
        <w:rPr>
          <w:rFonts w:cs="Arial"/>
          <w:noProof/>
          <w:color w:val="000000"/>
          <w:szCs w:val="22"/>
        </w:rPr>
        <w:t>ratieve sanctie kunnen bestraft worden, wordt het origineel proces-verbaal of bestuurlijk verslag aan de sanctionerende ambtenaar toegestuurd. Van feiten lastens minderjarigen die enkel met een administratieve sanctie kunnen bestraft worden, wordt steeds e</w:t>
      </w:r>
      <w:r>
        <w:rPr>
          <w:rFonts w:cs="Arial"/>
          <w:noProof/>
          <w:color w:val="000000"/>
          <w:szCs w:val="22"/>
        </w:rPr>
        <w:t xml:space="preserve">en afschrift van het proces-verbaal of van het bestuurlijk verslag overgemaakt aan de procureur des Konings. </w:t>
      </w:r>
      <w:r>
        <w:rPr>
          <w:rFonts w:cs="Arial"/>
          <w:noProof/>
          <w:color w:val="000000"/>
          <w:szCs w:val="22"/>
        </w:rPr>
        <w:br/>
      </w:r>
      <w:r>
        <w:rPr>
          <w:rFonts w:cs="Arial"/>
          <w:noProof/>
          <w:color w:val="000000"/>
          <w:szCs w:val="22"/>
        </w:rPr>
        <w:br/>
        <w:t>Art. 10.7. De administratieve procedure wordt overeenkomstig artikel 119bis, § 9, Nieuwe Gemeentewet opgestart door middel van een ter post aange</w:t>
      </w:r>
      <w:r>
        <w:rPr>
          <w:rFonts w:cs="Arial"/>
          <w:noProof/>
          <w:color w:val="000000"/>
          <w:szCs w:val="22"/>
        </w:rPr>
        <w:t xml:space="preserve">tekend schrijven aan de overtreder. De overtreder dient zijn verweerschrift, met een eventueel verzoek tot mondelinge verdediging van zijn zaak, ook bij een ter post aangetekende zending te versturen uiterlijk de vijftiende dag na de dag van ontvangst. </w:t>
      </w:r>
      <w:r>
        <w:rPr>
          <w:rFonts w:cs="Arial"/>
          <w:noProof/>
          <w:color w:val="000000"/>
          <w:szCs w:val="22"/>
        </w:rPr>
        <w:br/>
      </w:r>
      <w:r>
        <w:rPr>
          <w:rFonts w:cs="Arial"/>
          <w:noProof/>
          <w:color w:val="000000"/>
          <w:szCs w:val="22"/>
        </w:rPr>
        <w:br/>
        <w:t>H</w:t>
      </w:r>
      <w:r>
        <w:rPr>
          <w:rFonts w:cs="Arial"/>
          <w:noProof/>
          <w:color w:val="000000"/>
          <w:szCs w:val="22"/>
        </w:rPr>
        <w:t>et verzoek tot mondelinge verdediging van zijn zaak is enkel mogelijk indien het een overtreding betreft die gesanctioneerd wordt met een geldboete die hoger is dan 70,00 EUR. De aangewezen ambtenaar bepaalt in dit geval de dag waarop dit mondeling onderho</w:t>
      </w:r>
      <w:r>
        <w:rPr>
          <w:rFonts w:cs="Arial"/>
          <w:noProof/>
          <w:color w:val="000000"/>
          <w:szCs w:val="22"/>
        </w:rPr>
        <w:t xml:space="preserve">ud plaatsvindt, rekening houdend met het feit dat het onderhoud binnen de twintig werkdagen, te rekenen van de datum van verzending van het verweerschrift, moet plaatsvinden. </w:t>
      </w:r>
      <w:r>
        <w:rPr>
          <w:rFonts w:cs="Arial"/>
          <w:noProof/>
          <w:color w:val="000000"/>
          <w:szCs w:val="22"/>
        </w:rPr>
        <w:br/>
      </w:r>
      <w:r>
        <w:rPr>
          <w:rFonts w:cs="Arial"/>
          <w:noProof/>
          <w:color w:val="000000"/>
          <w:szCs w:val="22"/>
        </w:rPr>
        <w:br/>
        <w:t>Indien er verzachtende omstandigheden zijn, kunnen de administratieve geldboete</w:t>
      </w:r>
      <w:r>
        <w:rPr>
          <w:rFonts w:cs="Arial"/>
          <w:noProof/>
          <w:color w:val="000000"/>
          <w:szCs w:val="22"/>
        </w:rPr>
        <w:t>s worden verminderd, zonder dat zij ooit lager mogen zijn dan 1,00 EUR. </w:t>
      </w:r>
    </w:p>
    <w:p w14:paraId="6F83DBED" w14:textId="77777777" w:rsidR="00A1140B" w:rsidRDefault="00903DC3" w:rsidP="005B396D">
      <w:pPr>
        <w:tabs>
          <w:tab w:val="left" w:pos="709"/>
          <w:tab w:val="left" w:pos="4942"/>
        </w:tabs>
        <w:rPr>
          <w:rFonts w:cs="Arial"/>
          <w:noProof/>
          <w:color w:val="000000"/>
          <w:szCs w:val="22"/>
        </w:rPr>
      </w:pPr>
      <w:r>
        <w:rPr>
          <w:rFonts w:cs="Arial"/>
          <w:noProof/>
          <w:color w:val="000000"/>
          <w:szCs w:val="22"/>
        </w:rPr>
        <w:t xml:space="preserve">Art. 10.8. De aangewezen ambtenaar brengt de betrokkene met een tweede aangetekend schrijven op de hoogte van de beslissing. </w:t>
      </w:r>
      <w:r>
        <w:rPr>
          <w:rFonts w:cs="Arial"/>
          <w:noProof/>
          <w:color w:val="000000"/>
          <w:szCs w:val="22"/>
        </w:rPr>
        <w:br/>
      </w:r>
      <w:r>
        <w:rPr>
          <w:rFonts w:cs="Arial"/>
          <w:noProof/>
          <w:color w:val="000000"/>
          <w:szCs w:val="22"/>
        </w:rPr>
        <w:br/>
        <w:t>Art. 10.9. Bij de kennisgeving van de beslissing wordt e</w:t>
      </w:r>
      <w:r>
        <w:rPr>
          <w:rFonts w:cs="Arial"/>
          <w:noProof/>
          <w:color w:val="000000"/>
          <w:szCs w:val="22"/>
        </w:rPr>
        <w:t xml:space="preserve">en overschrijvingsformulier gevoegd dat door betrokkene gebruikt kan worden. Tevens wordt hem meegedeeld dat de boete ook in handen van de financieel beheerder kan worden betaald. </w:t>
      </w:r>
      <w:r>
        <w:rPr>
          <w:rFonts w:cs="Arial"/>
          <w:noProof/>
          <w:color w:val="000000"/>
          <w:szCs w:val="22"/>
        </w:rPr>
        <w:br/>
      </w:r>
      <w:r>
        <w:rPr>
          <w:rFonts w:cs="Arial"/>
          <w:noProof/>
          <w:color w:val="000000"/>
          <w:szCs w:val="22"/>
        </w:rPr>
        <w:br/>
      </w:r>
      <w:r>
        <w:rPr>
          <w:rFonts w:cs="Arial"/>
          <w:noProof/>
          <w:color w:val="000000"/>
          <w:szCs w:val="22"/>
          <w:u w:val="single"/>
        </w:rPr>
        <w:t>De administratieve schorsing van een door de gemeente afgegeven toestemmin</w:t>
      </w:r>
      <w:r>
        <w:rPr>
          <w:rFonts w:cs="Arial"/>
          <w:noProof/>
          <w:color w:val="000000"/>
          <w:szCs w:val="22"/>
          <w:u w:val="single"/>
        </w:rPr>
        <w:t>g of vergunning, de administratieve intrekking van een door de gemeente afgegeven toestemming of vergunning en de tijdelijke of definitieve administratieve sluiting van een inrichting.</w:t>
      </w:r>
    </w:p>
    <w:p w14:paraId="3098F57B" w14:textId="77777777" w:rsidR="00A1140B" w:rsidRDefault="00903DC3" w:rsidP="005B396D">
      <w:pPr>
        <w:tabs>
          <w:tab w:val="left" w:pos="709"/>
          <w:tab w:val="left" w:pos="4942"/>
        </w:tabs>
        <w:rPr>
          <w:rFonts w:cs="Arial"/>
          <w:noProof/>
          <w:color w:val="000000"/>
          <w:szCs w:val="22"/>
        </w:rPr>
      </w:pPr>
      <w:r>
        <w:rPr>
          <w:rFonts w:cs="Arial"/>
          <w:noProof/>
          <w:color w:val="000000"/>
          <w:szCs w:val="22"/>
        </w:rPr>
        <w:t>Art. 10.10. De aangewezen ambtenaar verstuurt een voorafgaande waarschu</w:t>
      </w:r>
      <w:r>
        <w:rPr>
          <w:rFonts w:cs="Arial"/>
          <w:noProof/>
          <w:color w:val="000000"/>
          <w:szCs w:val="22"/>
        </w:rPr>
        <w:t>wing. Hierin staat dat er een inbreuk werd vastgesteld en dat een sanctie zal opgelegd worden indien de inbreuk wordt gehandhaafd of bij een volgende inbreuk. De waarschuwing moet een uittreksel bevatten van het overtreden artikel of reglement en dient per</w:t>
      </w:r>
      <w:r>
        <w:rPr>
          <w:rFonts w:cs="Arial"/>
          <w:noProof/>
          <w:color w:val="000000"/>
          <w:szCs w:val="22"/>
        </w:rPr>
        <w:t xml:space="preserve"> post aangetekende brief te gebeuren. </w:t>
      </w:r>
      <w:r>
        <w:rPr>
          <w:rFonts w:cs="Arial"/>
          <w:noProof/>
          <w:color w:val="000000"/>
          <w:szCs w:val="22"/>
        </w:rPr>
        <w:br/>
      </w:r>
      <w:r>
        <w:rPr>
          <w:rFonts w:cs="Arial"/>
          <w:noProof/>
          <w:color w:val="000000"/>
          <w:szCs w:val="22"/>
        </w:rPr>
        <w:br/>
        <w:t>Art. 10.11. Vervolgens wordt aan de overtreder per post aangetekend schrijven meegedeeld dat er aanwijzingen zijn dat er nog steeds een inbreuk is en dat het college overweegt een sanctie (schorsing of intrekking van</w:t>
      </w:r>
      <w:r>
        <w:rPr>
          <w:rFonts w:cs="Arial"/>
          <w:noProof/>
          <w:color w:val="000000"/>
          <w:szCs w:val="22"/>
        </w:rPr>
        <w:t xml:space="preserve"> de vergunning, sluiting van de instelling) op te leggen. Bij deze mededeling deelt men ook mee waar en wanneer het dossier kan worden ingekeken, waar en wanneer betrokkene zal worden gehoord, en dat hij zich mag laten bijstaan of vertegenwoordigen door ee</w:t>
      </w:r>
      <w:r>
        <w:rPr>
          <w:rFonts w:cs="Arial"/>
          <w:noProof/>
          <w:color w:val="000000"/>
          <w:szCs w:val="22"/>
        </w:rPr>
        <w:t xml:space="preserve">n raadsman. </w:t>
      </w:r>
      <w:r>
        <w:rPr>
          <w:rFonts w:cs="Arial"/>
          <w:noProof/>
          <w:color w:val="000000"/>
          <w:szCs w:val="22"/>
        </w:rPr>
        <w:br/>
      </w:r>
      <w:r>
        <w:rPr>
          <w:rFonts w:cs="Arial"/>
          <w:noProof/>
          <w:color w:val="000000"/>
          <w:szCs w:val="22"/>
        </w:rPr>
        <w:br/>
        <w:t>Art. 10.12. De hoorzitting kan maar plaatsvinden als de meerderheid van het college van burgemeester en schepenen aanwezig is. De hoorzitting wordt genotuleerd en de aanwezigen worden bij het einde van de zitting uitgenodigd de notulen te ond</w:t>
      </w:r>
      <w:r>
        <w:rPr>
          <w:rFonts w:cs="Arial"/>
          <w:noProof/>
          <w:color w:val="000000"/>
          <w:szCs w:val="22"/>
        </w:rPr>
        <w:t xml:space="preserve">ertekenen. Bij het nemen van de beslissing zijn in het college van burgemeester en schepenen minstens twee zelfde leden aanwezig als tijdens de hoorzitting. </w:t>
      </w:r>
      <w:r>
        <w:rPr>
          <w:rFonts w:cs="Arial"/>
          <w:noProof/>
          <w:color w:val="000000"/>
          <w:szCs w:val="22"/>
        </w:rPr>
        <w:br/>
      </w:r>
      <w:r>
        <w:rPr>
          <w:rFonts w:cs="Arial"/>
          <w:noProof/>
          <w:color w:val="000000"/>
          <w:szCs w:val="22"/>
        </w:rPr>
        <w:br/>
        <w:t xml:space="preserve">Art. 10.13. De kennisgeving van de sanctie wordt ondertekend door de burgemeester en de algemeen </w:t>
      </w:r>
      <w:r>
        <w:rPr>
          <w:rFonts w:cs="Arial"/>
          <w:noProof/>
          <w:color w:val="000000"/>
          <w:szCs w:val="22"/>
        </w:rPr>
        <w:t xml:space="preserve">directeur. Deze sanctie wordt aan de overtreder ter kennis gebracht door een aangetekend schrijven, ofwel door overhandiging tegen ontvangstbewijs. </w:t>
      </w:r>
      <w:r>
        <w:rPr>
          <w:rFonts w:cs="Arial"/>
          <w:noProof/>
          <w:color w:val="000000"/>
          <w:szCs w:val="22"/>
        </w:rPr>
        <w:br/>
      </w:r>
      <w:r>
        <w:rPr>
          <w:rFonts w:cs="Arial"/>
          <w:noProof/>
          <w:color w:val="000000"/>
          <w:szCs w:val="22"/>
        </w:rPr>
        <w:br/>
      </w:r>
      <w:r>
        <w:rPr>
          <w:rFonts w:cs="Arial"/>
          <w:noProof/>
          <w:color w:val="000000"/>
          <w:szCs w:val="22"/>
          <w:u w:val="single"/>
        </w:rPr>
        <w:t>Bemiddelingsprocedure</w:t>
      </w:r>
    </w:p>
    <w:p w14:paraId="770E3630" w14:textId="77777777" w:rsidR="00A1140B" w:rsidRDefault="00903DC3" w:rsidP="005B396D">
      <w:pPr>
        <w:tabs>
          <w:tab w:val="left" w:pos="709"/>
          <w:tab w:val="left" w:pos="4942"/>
        </w:tabs>
        <w:rPr>
          <w:rFonts w:cs="Arial"/>
          <w:noProof/>
          <w:color w:val="000000"/>
          <w:szCs w:val="22"/>
        </w:rPr>
      </w:pPr>
      <w:r>
        <w:rPr>
          <w:rFonts w:cs="Arial"/>
          <w:noProof/>
          <w:color w:val="000000"/>
          <w:szCs w:val="22"/>
        </w:rPr>
        <w:t>Art. 10.14. De voorafgaande bemiddelingsprocedure heeft als doel de overtreder de mo</w:t>
      </w:r>
      <w:r>
        <w:rPr>
          <w:rFonts w:cs="Arial"/>
          <w:noProof/>
          <w:color w:val="000000"/>
          <w:szCs w:val="22"/>
        </w:rPr>
        <w:t xml:space="preserve">gelijkheid te bieden de eventuele schade te vergoeden of te herstellen, die ten gevolge van een inbreuk op de politieverordening is ontstaan. </w:t>
      </w:r>
      <w:r>
        <w:rPr>
          <w:rFonts w:cs="Arial"/>
          <w:noProof/>
          <w:color w:val="000000"/>
          <w:szCs w:val="22"/>
        </w:rPr>
        <w:br/>
      </w:r>
      <w:r>
        <w:rPr>
          <w:rFonts w:cs="Arial"/>
          <w:noProof/>
          <w:color w:val="000000"/>
          <w:szCs w:val="22"/>
        </w:rPr>
        <w:br/>
        <w:t>Art. 10.15. Het bemiddelingsaanbod is verplicht van toepassing voor minderjarige overtreders die op het ogenblik</w:t>
      </w:r>
      <w:r>
        <w:rPr>
          <w:rFonts w:cs="Arial"/>
          <w:noProof/>
          <w:color w:val="000000"/>
          <w:szCs w:val="22"/>
        </w:rPr>
        <w:t xml:space="preserve"> van de feiten de volle leeftijd van zestien jaar hebben bereikt. </w:t>
      </w:r>
      <w:r>
        <w:rPr>
          <w:rFonts w:cs="Arial"/>
          <w:noProof/>
          <w:color w:val="000000"/>
          <w:szCs w:val="22"/>
        </w:rPr>
        <w:br/>
      </w:r>
      <w:r>
        <w:rPr>
          <w:rFonts w:cs="Arial"/>
          <w:noProof/>
          <w:color w:val="000000"/>
          <w:szCs w:val="22"/>
        </w:rPr>
        <w:br/>
        <w:t>Art. 10.16.  Wanneer de overtreder een minderjarige is, die op het moment van de feiten de leeftijd van zestien heeft bereikt, kan deze bijgestaan worden door een advocaat die door de staf</w:t>
      </w:r>
      <w:r>
        <w:rPr>
          <w:rFonts w:cs="Arial"/>
          <w:noProof/>
          <w:color w:val="000000"/>
          <w:szCs w:val="22"/>
        </w:rPr>
        <w:t xml:space="preserve">houder van de orde van advocaten wordt aangeduid. De ouders, voogden of wettelijke vertegenwoordigers van de minderjarige worden op de hoogte gebracht van de bemiddelingsprocedure en bij de procedure betrokken per aangetekend schrijven. </w:t>
      </w:r>
      <w:r>
        <w:rPr>
          <w:rFonts w:cs="Arial"/>
          <w:noProof/>
          <w:color w:val="000000"/>
          <w:szCs w:val="22"/>
        </w:rPr>
        <w:br/>
      </w:r>
      <w:r>
        <w:rPr>
          <w:rFonts w:cs="Arial"/>
          <w:noProof/>
          <w:color w:val="000000"/>
          <w:szCs w:val="22"/>
        </w:rPr>
        <w:br/>
        <w:t>Art. 10.17. De ov</w:t>
      </w:r>
      <w:r>
        <w:rPr>
          <w:rFonts w:cs="Arial"/>
          <w:noProof/>
          <w:color w:val="000000"/>
          <w:szCs w:val="22"/>
        </w:rPr>
        <w:t>ertreder aan wie de bemiddelingsprocedure wordt voorgesteld, kan de procedure aanvaarden of weigeren. Dit geldt ook voor de benadeelde partij. Indien één van de betrokken partijen weigert deel te nemen aan de procedure, dan sluit de bemiddelaar de procedur</w:t>
      </w:r>
      <w:r>
        <w:rPr>
          <w:rFonts w:cs="Arial"/>
          <w:noProof/>
          <w:color w:val="000000"/>
          <w:szCs w:val="22"/>
        </w:rPr>
        <w:t xml:space="preserve">e af en maakt het dossier terug over aan de sanctionerende ambtenaar. </w:t>
      </w:r>
      <w:r>
        <w:rPr>
          <w:rFonts w:cs="Arial"/>
          <w:noProof/>
          <w:color w:val="000000"/>
          <w:szCs w:val="22"/>
        </w:rPr>
        <w:br/>
      </w:r>
      <w:r>
        <w:rPr>
          <w:rFonts w:cs="Arial"/>
          <w:noProof/>
          <w:color w:val="000000"/>
          <w:szCs w:val="22"/>
        </w:rPr>
        <w:br/>
        <w:t>Art. 10.18. De volledige bemiddelingsprocedure dient uiterlijk één maand voor het verstrijken van de verjaringstermijn beëindigd te zijn. Na overleg tussen de bemiddelaar en de sanctio</w:t>
      </w:r>
      <w:r>
        <w:rPr>
          <w:rFonts w:cs="Arial"/>
          <w:noProof/>
          <w:color w:val="000000"/>
          <w:szCs w:val="22"/>
        </w:rPr>
        <w:t xml:space="preserve">nerende ambtenaar kan de bemiddelingsprocedure verlengd worden onverminderd het in acht nemen van de wettelijke verjaringstermijn. </w:t>
      </w:r>
      <w:r>
        <w:rPr>
          <w:rFonts w:cs="Arial"/>
          <w:noProof/>
          <w:color w:val="000000"/>
          <w:szCs w:val="22"/>
        </w:rPr>
        <w:br/>
      </w:r>
      <w:r>
        <w:rPr>
          <w:rFonts w:cs="Arial"/>
          <w:noProof/>
          <w:color w:val="000000"/>
          <w:szCs w:val="22"/>
        </w:rPr>
        <w:br/>
      </w:r>
      <w:r>
        <w:rPr>
          <w:rFonts w:cs="Arial"/>
          <w:noProof/>
          <w:color w:val="000000"/>
          <w:szCs w:val="22"/>
          <w:u w:val="single"/>
        </w:rPr>
        <w:t>Uitvoering van de beslissing</w:t>
      </w:r>
    </w:p>
    <w:p w14:paraId="7741CCB7" w14:textId="77777777" w:rsidR="00A1140B" w:rsidRDefault="00903DC3" w:rsidP="005B396D">
      <w:pPr>
        <w:tabs>
          <w:tab w:val="left" w:pos="709"/>
          <w:tab w:val="left" w:pos="4942"/>
        </w:tabs>
        <w:rPr>
          <w:rFonts w:cs="Arial"/>
          <w:noProof/>
          <w:color w:val="000000"/>
          <w:szCs w:val="22"/>
        </w:rPr>
      </w:pPr>
      <w:r>
        <w:rPr>
          <w:rFonts w:cs="Arial"/>
          <w:noProof/>
          <w:color w:val="000000"/>
          <w:szCs w:val="22"/>
        </w:rPr>
        <w:t>Art. 10.19. De beslissing tot het opleggen van een administratieve geldboete heeft uitvoerbare</w:t>
      </w:r>
      <w:r>
        <w:rPr>
          <w:rFonts w:cs="Arial"/>
          <w:noProof/>
          <w:color w:val="000000"/>
          <w:szCs w:val="22"/>
        </w:rPr>
        <w:t xml:space="preserve"> kracht na het verstrijken van een termijn van één maand vanaf haar kennisgeving, behalve wanneer beroep wordt aangetekend.</w:t>
      </w:r>
    </w:p>
    <w:p w14:paraId="32577D4B" w14:textId="77777777" w:rsidR="00A1140B" w:rsidRDefault="00903DC3" w:rsidP="005B396D">
      <w:pPr>
        <w:tabs>
          <w:tab w:val="left" w:pos="709"/>
          <w:tab w:val="left" w:pos="4942"/>
        </w:tabs>
        <w:rPr>
          <w:rFonts w:cs="Arial"/>
          <w:noProof/>
          <w:color w:val="000000"/>
          <w:szCs w:val="22"/>
        </w:rPr>
      </w:pPr>
      <w:r>
        <w:rPr>
          <w:rFonts w:cs="Arial"/>
          <w:noProof/>
          <w:color w:val="000000"/>
          <w:szCs w:val="22"/>
        </w:rPr>
        <w:t>Art. 10.20. De boete moet betaald worden binnen een termijn van één maand volgend op de dag dat de beslissing uitvoerbaar is geworde</w:t>
      </w:r>
      <w:r>
        <w:rPr>
          <w:rFonts w:cs="Arial"/>
          <w:noProof/>
          <w:color w:val="000000"/>
          <w:szCs w:val="22"/>
        </w:rPr>
        <w:t>n. De overtreder heeft dus twee maanden tijd om te betalen vanaf de kennisgeving van de geldboete.</w:t>
      </w:r>
    </w:p>
    <w:p w14:paraId="616E86FA" w14:textId="77777777" w:rsidR="00A1140B" w:rsidRDefault="00903DC3" w:rsidP="005B396D">
      <w:pPr>
        <w:tabs>
          <w:tab w:val="left" w:pos="709"/>
          <w:tab w:val="left" w:pos="4942"/>
        </w:tabs>
        <w:rPr>
          <w:rFonts w:cs="Arial"/>
          <w:noProof/>
          <w:color w:val="000000"/>
          <w:szCs w:val="22"/>
        </w:rPr>
      </w:pPr>
      <w:r>
        <w:rPr>
          <w:rFonts w:cs="Arial"/>
          <w:noProof/>
          <w:color w:val="000000"/>
          <w:szCs w:val="22"/>
          <w:u w:val="single"/>
        </w:rPr>
        <w:t>Beroepsprocedure</w:t>
      </w:r>
    </w:p>
    <w:p w14:paraId="683D11C4" w14:textId="77777777" w:rsidR="00A1140B" w:rsidRDefault="00903DC3" w:rsidP="005B396D">
      <w:pPr>
        <w:tabs>
          <w:tab w:val="left" w:pos="709"/>
          <w:tab w:val="left" w:pos="4942"/>
        </w:tabs>
        <w:rPr>
          <w:rFonts w:cs="Arial"/>
          <w:noProof/>
          <w:color w:val="000000"/>
          <w:szCs w:val="22"/>
        </w:rPr>
      </w:pPr>
      <w:r>
        <w:rPr>
          <w:rFonts w:cs="Arial"/>
          <w:noProof/>
          <w:color w:val="000000"/>
          <w:szCs w:val="22"/>
        </w:rPr>
        <w:t>Art. 10.21. De overtreder kan beroep instellen tegen de beslissing van de sanctionerende ambtenaar binnen één maand te rekenen vanaf de kenn</w:t>
      </w:r>
      <w:r>
        <w:rPr>
          <w:rFonts w:cs="Arial"/>
          <w:noProof/>
          <w:color w:val="000000"/>
          <w:szCs w:val="22"/>
        </w:rPr>
        <w:t>isgeving van de beslissing tot administratieve geldboete en dit bij de politierechtbank via een eenvoudig verzoekschrift.</w:t>
      </w:r>
    </w:p>
    <w:p w14:paraId="09DF6A18" w14:textId="77777777" w:rsidR="00A1140B" w:rsidRDefault="00903DC3" w:rsidP="005B396D">
      <w:pPr>
        <w:tabs>
          <w:tab w:val="left" w:pos="709"/>
          <w:tab w:val="left" w:pos="4942"/>
        </w:tabs>
        <w:rPr>
          <w:rFonts w:cs="Arial"/>
          <w:noProof/>
          <w:color w:val="000000"/>
          <w:szCs w:val="22"/>
        </w:rPr>
      </w:pPr>
      <w:r>
        <w:rPr>
          <w:rFonts w:cs="Arial"/>
          <w:noProof/>
          <w:color w:val="000000"/>
          <w:szCs w:val="22"/>
          <w:u w:val="single"/>
        </w:rPr>
        <w:t>Verjaringstermijn</w:t>
      </w:r>
    </w:p>
    <w:p w14:paraId="5AF5BEAF" w14:textId="77777777" w:rsidR="00A1140B" w:rsidRDefault="00903DC3" w:rsidP="005B396D">
      <w:pPr>
        <w:tabs>
          <w:tab w:val="left" w:pos="709"/>
          <w:tab w:val="left" w:pos="4942"/>
        </w:tabs>
        <w:rPr>
          <w:rFonts w:cs="Arial"/>
          <w:noProof/>
          <w:color w:val="000000"/>
          <w:szCs w:val="22"/>
        </w:rPr>
      </w:pPr>
      <w:r>
        <w:rPr>
          <w:rFonts w:cs="Arial"/>
          <w:noProof/>
          <w:color w:val="000000"/>
          <w:szCs w:val="22"/>
        </w:rPr>
        <w:t xml:space="preserve">Art. 10.22. De procedure moet afgehandeld zijn binnen de zes maanden. Ingeval van bemiddeling of gemeenschapsdienst </w:t>
      </w:r>
      <w:r>
        <w:rPr>
          <w:rFonts w:cs="Arial"/>
          <w:noProof/>
          <w:color w:val="000000"/>
          <w:szCs w:val="22"/>
        </w:rPr>
        <w:t>bedraagt de termijn twaalf maanden. De termijn begint te lopen vanaf de dag van de vaststellingen.</w:t>
      </w:r>
    </w:p>
    <w:p w14:paraId="20A1209C" w14:textId="77777777" w:rsidR="00A1140B" w:rsidRDefault="00903DC3" w:rsidP="005B396D">
      <w:pPr>
        <w:tabs>
          <w:tab w:val="left" w:pos="709"/>
          <w:tab w:val="left" w:pos="4942"/>
        </w:tabs>
        <w:rPr>
          <w:rFonts w:cs="Arial"/>
          <w:noProof/>
          <w:color w:val="000000"/>
          <w:szCs w:val="22"/>
        </w:rPr>
      </w:pPr>
      <w:r>
        <w:rPr>
          <w:rFonts w:cs="Arial"/>
          <w:noProof/>
          <w:color w:val="000000"/>
          <w:szCs w:val="22"/>
          <w:u w:val="single"/>
        </w:rPr>
        <w:t>Bekendmaking en inwerkingtreding</w:t>
      </w:r>
    </w:p>
    <w:p w14:paraId="606CBCC3" w14:textId="77777777" w:rsidR="00A1140B" w:rsidRDefault="00903DC3" w:rsidP="005B396D">
      <w:pPr>
        <w:tabs>
          <w:tab w:val="left" w:pos="709"/>
          <w:tab w:val="left" w:pos="4942"/>
        </w:tabs>
        <w:rPr>
          <w:rFonts w:cs="Arial"/>
          <w:noProof/>
          <w:color w:val="000000"/>
          <w:szCs w:val="22"/>
        </w:rPr>
      </w:pPr>
      <w:r>
        <w:rPr>
          <w:rFonts w:cs="Arial"/>
          <w:noProof/>
          <w:color w:val="000000"/>
          <w:szCs w:val="22"/>
        </w:rPr>
        <w:t>Art. 11. Dit reglement wordt van kracht vanaf 4 mei 2021.</w:t>
      </w:r>
    </w:p>
    <w:p w14:paraId="4692789B" w14:textId="77777777" w:rsidR="00A1140B" w:rsidRDefault="00903DC3" w:rsidP="005B396D">
      <w:pPr>
        <w:tabs>
          <w:tab w:val="left" w:pos="709"/>
          <w:tab w:val="left" w:pos="4942"/>
        </w:tabs>
        <w:rPr>
          <w:rFonts w:cs="Arial"/>
          <w:noProof/>
          <w:color w:val="000000"/>
          <w:szCs w:val="22"/>
        </w:rPr>
      </w:pPr>
      <w:r>
        <w:rPr>
          <w:rFonts w:cs="Arial"/>
          <w:noProof/>
          <w:color w:val="000000"/>
          <w:szCs w:val="22"/>
        </w:rPr>
        <w:t>Art. 12. Dit reglement zal door de burgemeester worden bekendgemaa</w:t>
      </w:r>
      <w:r>
        <w:rPr>
          <w:rFonts w:cs="Arial"/>
          <w:noProof/>
          <w:color w:val="000000"/>
          <w:szCs w:val="22"/>
        </w:rPr>
        <w:t>kt op de webtoepassing van de stad, met vermelding van zowel de datum waarop het werd aangenomen als de datum waarop het op de webtoepassing bekendgemaakt werd. De toezichthoudende overheid wordt op de hoogte gebracht van deze bekendmaking</w:t>
      </w:r>
    </w:p>
    <w:p w14:paraId="7C299E22" w14:textId="77777777" w:rsidR="00A1140B" w:rsidRDefault="00903DC3" w:rsidP="005B396D">
      <w:pPr>
        <w:tabs>
          <w:tab w:val="left" w:pos="709"/>
          <w:tab w:val="left" w:pos="4942"/>
        </w:tabs>
        <w:rPr>
          <w:rFonts w:cs="Arial"/>
          <w:noProof/>
          <w:color w:val="000000"/>
          <w:szCs w:val="22"/>
        </w:rPr>
      </w:pPr>
      <w:r>
        <w:rPr>
          <w:rFonts w:cs="Arial"/>
          <w:noProof/>
          <w:color w:val="000000"/>
          <w:szCs w:val="22"/>
        </w:rPr>
        <w:t> </w:t>
      </w:r>
    </w:p>
    <w:p w14:paraId="63A477A9" w14:textId="77777777" w:rsidR="005B396D" w:rsidRPr="00B753B8" w:rsidRDefault="005B396D">
      <w:pPr>
        <w:ind w:left="993" w:hanging="993"/>
        <w:rPr>
          <w:rFonts w:cs="Arial"/>
          <w:b/>
          <w:u w:val="single"/>
        </w:rPr>
      </w:pPr>
    </w:p>
    <w:p w14:paraId="378F6B3B" w14:textId="77777777" w:rsidR="005B396D" w:rsidRPr="00B753B8" w:rsidRDefault="005B396D" w:rsidP="00D82A72">
      <w:pPr>
        <w:rPr>
          <w:rFonts w:cs="Arial"/>
        </w:rPr>
      </w:pPr>
    </w:p>
    <w:p w14:paraId="1411924C" w14:textId="77777777" w:rsidR="005B396D" w:rsidRPr="00B753B8" w:rsidRDefault="005B396D" w:rsidP="005B396D">
      <w:pPr>
        <w:jc w:val="center"/>
        <w:rPr>
          <w:rFonts w:cs="Arial"/>
        </w:rPr>
      </w:pPr>
    </w:p>
    <w:tbl>
      <w:tblPr>
        <w:tblW w:w="0" w:type="auto"/>
        <w:jc w:val="center"/>
        <w:tblLook w:val="04A0" w:firstRow="1" w:lastRow="0" w:firstColumn="1" w:lastColumn="0" w:noHBand="0" w:noVBand="1"/>
      </w:tblPr>
      <w:tblGrid>
        <w:gridCol w:w="4393"/>
        <w:gridCol w:w="4191"/>
      </w:tblGrid>
      <w:tr w:rsidR="00671283" w14:paraId="7DFA3271" w14:textId="77777777" w:rsidTr="00BC48F1">
        <w:trPr>
          <w:jc w:val="center"/>
        </w:trPr>
        <w:tc>
          <w:tcPr>
            <w:tcW w:w="4393" w:type="dxa"/>
          </w:tcPr>
          <w:p w14:paraId="01263B9D" w14:textId="77777777" w:rsidR="005B396D" w:rsidRPr="00B753B8" w:rsidRDefault="006715AB" w:rsidP="006715AB">
            <w:pPr>
              <w:tabs>
                <w:tab w:val="left" w:pos="709"/>
                <w:tab w:val="left" w:pos="1134"/>
                <w:tab w:val="left" w:pos="2126"/>
                <w:tab w:val="left" w:pos="4253"/>
                <w:tab w:val="left" w:pos="4942"/>
              </w:tabs>
              <w:rPr>
                <w:rFonts w:cs="Arial"/>
              </w:rPr>
            </w:pPr>
            <w:r>
              <w:rPr>
                <w:rFonts w:cs="Arial"/>
              </w:rPr>
              <w:t xml:space="preserve">De </w:t>
            </w:r>
            <w:r w:rsidR="00E13602">
              <w:rPr>
                <w:rFonts w:cs="Arial"/>
                <w:noProof/>
              </w:rPr>
              <w:t>Algemeen directeur</w:t>
            </w:r>
            <w:r>
              <w:rPr>
                <w:rFonts w:cs="Arial"/>
              </w:rPr>
              <w:t>,</w:t>
            </w:r>
          </w:p>
        </w:tc>
        <w:tc>
          <w:tcPr>
            <w:tcW w:w="4191" w:type="dxa"/>
          </w:tcPr>
          <w:p w14:paraId="32C9ACE2" w14:textId="77777777" w:rsidR="005B396D" w:rsidRPr="00B753B8" w:rsidRDefault="006715AB" w:rsidP="006715AB">
            <w:pPr>
              <w:tabs>
                <w:tab w:val="left" w:pos="709"/>
                <w:tab w:val="left" w:pos="1134"/>
                <w:tab w:val="left" w:pos="2126"/>
                <w:tab w:val="left" w:pos="4253"/>
                <w:tab w:val="left" w:pos="4942"/>
              </w:tabs>
              <w:jc w:val="right"/>
              <w:rPr>
                <w:rFonts w:cs="Arial"/>
              </w:rPr>
            </w:pPr>
            <w:r>
              <w:rPr>
                <w:rFonts w:cs="Arial"/>
              </w:rPr>
              <w:t xml:space="preserve">De </w:t>
            </w:r>
            <w:r w:rsidR="00E13602">
              <w:rPr>
                <w:rFonts w:cs="Arial"/>
                <w:noProof/>
              </w:rPr>
              <w:t>Voorzitter</w:t>
            </w:r>
            <w:r>
              <w:rPr>
                <w:rFonts w:cs="Arial"/>
              </w:rPr>
              <w:t>,</w:t>
            </w:r>
          </w:p>
        </w:tc>
      </w:tr>
      <w:tr w:rsidR="00671283" w14:paraId="3D8B3168" w14:textId="77777777" w:rsidTr="00BC48F1">
        <w:trPr>
          <w:jc w:val="center"/>
        </w:trPr>
        <w:tc>
          <w:tcPr>
            <w:tcW w:w="4393" w:type="dxa"/>
          </w:tcPr>
          <w:p w14:paraId="026E0451" w14:textId="77777777" w:rsidR="006715AB" w:rsidRPr="00B753B8" w:rsidRDefault="00903DC3" w:rsidP="006715AB">
            <w:pPr>
              <w:tabs>
                <w:tab w:val="left" w:pos="709"/>
                <w:tab w:val="left" w:pos="1134"/>
                <w:tab w:val="left" w:pos="2126"/>
                <w:tab w:val="left" w:pos="4253"/>
                <w:tab w:val="left" w:pos="4942"/>
              </w:tabs>
              <w:rPr>
                <w:rFonts w:cs="Arial"/>
              </w:rPr>
            </w:pPr>
            <w:r>
              <w:rPr>
                <w:rFonts w:cs="Arial"/>
              </w:rPr>
              <w:t xml:space="preserve">(get) </w:t>
            </w:r>
            <w:r w:rsidR="00E13602">
              <w:rPr>
                <w:rFonts w:cs="Arial"/>
                <w:noProof/>
              </w:rPr>
              <w:t>STEFAN DEPRAETERE</w:t>
            </w:r>
          </w:p>
        </w:tc>
        <w:tc>
          <w:tcPr>
            <w:tcW w:w="4191" w:type="dxa"/>
          </w:tcPr>
          <w:p w14:paraId="51A83878" w14:textId="77777777" w:rsidR="006715AB" w:rsidRPr="00B753B8" w:rsidRDefault="00903DC3" w:rsidP="006715AB">
            <w:pPr>
              <w:tabs>
                <w:tab w:val="left" w:pos="709"/>
                <w:tab w:val="left" w:pos="1134"/>
                <w:tab w:val="left" w:pos="2126"/>
                <w:tab w:val="left" w:pos="4253"/>
                <w:tab w:val="left" w:pos="4942"/>
              </w:tabs>
              <w:jc w:val="right"/>
              <w:rPr>
                <w:rFonts w:cs="Arial"/>
              </w:rPr>
            </w:pPr>
            <w:r>
              <w:rPr>
                <w:rFonts w:cs="Arial"/>
              </w:rPr>
              <w:t xml:space="preserve">(get) </w:t>
            </w:r>
            <w:r w:rsidR="00E13602">
              <w:rPr>
                <w:rFonts w:cs="Arial"/>
                <w:noProof/>
              </w:rPr>
              <w:t>ANN-SOPHIE HIMPE</w:t>
            </w:r>
          </w:p>
        </w:tc>
      </w:tr>
    </w:tbl>
    <w:p w14:paraId="1FF33D26" w14:textId="77777777" w:rsidR="005B396D" w:rsidRPr="00B753B8" w:rsidRDefault="005B396D" w:rsidP="005B396D">
      <w:pPr>
        <w:tabs>
          <w:tab w:val="left" w:pos="709"/>
          <w:tab w:val="left" w:pos="1134"/>
          <w:tab w:val="left" w:pos="2126"/>
          <w:tab w:val="left" w:pos="4253"/>
          <w:tab w:val="left" w:pos="4942"/>
        </w:tabs>
        <w:rPr>
          <w:rFonts w:cs="Arial"/>
        </w:rPr>
      </w:pPr>
    </w:p>
    <w:p w14:paraId="517D9087" w14:textId="77777777" w:rsidR="005B396D" w:rsidRPr="00B753B8" w:rsidRDefault="005B396D" w:rsidP="005B396D">
      <w:pPr>
        <w:tabs>
          <w:tab w:val="left" w:pos="709"/>
          <w:tab w:val="left" w:pos="1134"/>
          <w:tab w:val="left" w:pos="2126"/>
          <w:tab w:val="left" w:pos="4253"/>
          <w:tab w:val="left" w:pos="4942"/>
        </w:tabs>
        <w:rPr>
          <w:rFonts w:cs="Arial"/>
        </w:rPr>
      </w:pPr>
    </w:p>
    <w:p w14:paraId="591E6DF2" w14:textId="77777777" w:rsidR="005B396D" w:rsidRPr="00B753B8" w:rsidRDefault="00903DC3" w:rsidP="005B396D">
      <w:pPr>
        <w:tabs>
          <w:tab w:val="left" w:pos="709"/>
          <w:tab w:val="left" w:pos="1134"/>
          <w:tab w:val="left" w:pos="2126"/>
          <w:tab w:val="left" w:pos="4253"/>
          <w:tab w:val="left" w:pos="4942"/>
        </w:tabs>
        <w:jc w:val="center"/>
        <w:rPr>
          <w:rFonts w:cs="Arial"/>
          <w:lang w:val="nl"/>
        </w:rPr>
      </w:pPr>
      <w:r w:rsidRPr="00B753B8">
        <w:rPr>
          <w:rFonts w:cs="Arial"/>
        </w:rPr>
        <w:t>Voor eensluidend verklaard afschrift</w:t>
      </w:r>
      <w:r w:rsidR="006715AB">
        <w:rPr>
          <w:rFonts w:cs="Arial"/>
        </w:rPr>
        <w:t>,</w:t>
      </w:r>
    </w:p>
    <w:p w14:paraId="7F6CD41F" w14:textId="77777777" w:rsidR="005B396D" w:rsidRPr="00B753B8" w:rsidRDefault="005B396D" w:rsidP="005B396D">
      <w:pPr>
        <w:tabs>
          <w:tab w:val="left" w:pos="709"/>
          <w:tab w:val="left" w:pos="1134"/>
          <w:tab w:val="left" w:pos="2126"/>
          <w:tab w:val="left" w:pos="4253"/>
          <w:tab w:val="left" w:pos="4942"/>
        </w:tabs>
        <w:rPr>
          <w:rFonts w:cs="Arial"/>
        </w:rPr>
      </w:pPr>
    </w:p>
    <w:p w14:paraId="0D12A918" w14:textId="77777777" w:rsidR="005B396D" w:rsidRPr="00B753B8" w:rsidRDefault="005B396D" w:rsidP="005B396D">
      <w:pPr>
        <w:tabs>
          <w:tab w:val="left" w:pos="709"/>
          <w:tab w:val="left" w:pos="1134"/>
          <w:tab w:val="left" w:pos="2126"/>
          <w:tab w:val="left" w:pos="4253"/>
          <w:tab w:val="left" w:pos="4942"/>
        </w:tabs>
        <w:rPr>
          <w:rFonts w:cs="Arial"/>
        </w:rPr>
      </w:pPr>
    </w:p>
    <w:tbl>
      <w:tblPr>
        <w:tblW w:w="0" w:type="auto"/>
        <w:jc w:val="center"/>
        <w:tblLook w:val="04A0" w:firstRow="1" w:lastRow="0" w:firstColumn="1" w:lastColumn="0" w:noHBand="0" w:noVBand="1"/>
      </w:tblPr>
      <w:tblGrid>
        <w:gridCol w:w="4100"/>
        <w:gridCol w:w="4337"/>
      </w:tblGrid>
      <w:tr w:rsidR="00671283" w14:paraId="3913C5B1" w14:textId="77777777" w:rsidTr="00BC48F1">
        <w:trPr>
          <w:jc w:val="center"/>
        </w:trPr>
        <w:tc>
          <w:tcPr>
            <w:tcW w:w="4100" w:type="dxa"/>
          </w:tcPr>
          <w:p w14:paraId="1FEDACB3" w14:textId="77777777" w:rsidR="006715AB" w:rsidRPr="00B753B8" w:rsidRDefault="00903DC3" w:rsidP="004C7B22">
            <w:pPr>
              <w:tabs>
                <w:tab w:val="left" w:pos="709"/>
                <w:tab w:val="left" w:pos="1134"/>
                <w:tab w:val="left" w:pos="2126"/>
                <w:tab w:val="left" w:pos="4253"/>
                <w:tab w:val="left" w:pos="4942"/>
              </w:tabs>
              <w:rPr>
                <w:rFonts w:cs="Arial"/>
              </w:rPr>
            </w:pPr>
            <w:r>
              <w:rPr>
                <w:rFonts w:cs="Arial"/>
              </w:rPr>
              <w:t>Bij bevel</w:t>
            </w:r>
          </w:p>
        </w:tc>
        <w:tc>
          <w:tcPr>
            <w:tcW w:w="4337" w:type="dxa"/>
          </w:tcPr>
          <w:p w14:paraId="7C072498" w14:textId="77777777" w:rsidR="006715AB" w:rsidRPr="00B753B8" w:rsidRDefault="006715AB" w:rsidP="004C7B22">
            <w:pPr>
              <w:tabs>
                <w:tab w:val="left" w:pos="709"/>
                <w:tab w:val="left" w:pos="1134"/>
                <w:tab w:val="left" w:pos="2126"/>
                <w:tab w:val="left" w:pos="4253"/>
                <w:tab w:val="left" w:pos="4942"/>
              </w:tabs>
              <w:jc w:val="right"/>
              <w:rPr>
                <w:rFonts w:cs="Arial"/>
              </w:rPr>
            </w:pPr>
          </w:p>
        </w:tc>
      </w:tr>
      <w:tr w:rsidR="00671283" w14:paraId="12D473CD" w14:textId="77777777" w:rsidTr="00BC48F1">
        <w:trPr>
          <w:jc w:val="center"/>
        </w:trPr>
        <w:tc>
          <w:tcPr>
            <w:tcW w:w="4100" w:type="dxa"/>
          </w:tcPr>
          <w:p w14:paraId="4693F57C" w14:textId="77777777" w:rsidR="005B396D" w:rsidRPr="00B753B8" w:rsidRDefault="00E13602" w:rsidP="004C7B22">
            <w:pPr>
              <w:tabs>
                <w:tab w:val="left" w:pos="709"/>
                <w:tab w:val="left" w:pos="1134"/>
                <w:tab w:val="left" w:pos="2126"/>
                <w:tab w:val="left" w:pos="4253"/>
                <w:tab w:val="left" w:pos="4942"/>
              </w:tabs>
              <w:rPr>
                <w:rFonts w:cs="Arial"/>
              </w:rPr>
            </w:pPr>
            <w:r>
              <w:rPr>
                <w:rFonts w:cs="Arial"/>
                <w:noProof/>
              </w:rPr>
              <w:t>Algemeen directeur</w:t>
            </w:r>
          </w:p>
        </w:tc>
        <w:tc>
          <w:tcPr>
            <w:tcW w:w="4337" w:type="dxa"/>
          </w:tcPr>
          <w:p w14:paraId="353D7C40" w14:textId="77777777" w:rsidR="005B396D" w:rsidRPr="00B753B8" w:rsidRDefault="00E13602" w:rsidP="004C7B22">
            <w:pPr>
              <w:tabs>
                <w:tab w:val="left" w:pos="709"/>
                <w:tab w:val="left" w:pos="1134"/>
                <w:tab w:val="left" w:pos="2126"/>
                <w:tab w:val="left" w:pos="4253"/>
                <w:tab w:val="left" w:pos="4942"/>
              </w:tabs>
              <w:jc w:val="right"/>
              <w:rPr>
                <w:rFonts w:cs="Arial"/>
              </w:rPr>
            </w:pPr>
            <w:r>
              <w:rPr>
                <w:rFonts w:cs="Arial"/>
                <w:noProof/>
              </w:rPr>
              <w:t>Voorzitter</w:t>
            </w:r>
          </w:p>
        </w:tc>
      </w:tr>
      <w:tr w:rsidR="00671283" w14:paraId="4B0BCBFB" w14:textId="77777777" w:rsidTr="00BC48F1">
        <w:trPr>
          <w:jc w:val="center"/>
        </w:trPr>
        <w:tc>
          <w:tcPr>
            <w:tcW w:w="4100" w:type="dxa"/>
          </w:tcPr>
          <w:p w14:paraId="7B6B3D0F" w14:textId="77777777" w:rsidR="006715AB" w:rsidRPr="00B753B8" w:rsidRDefault="00E13602" w:rsidP="000C062B">
            <w:pPr>
              <w:tabs>
                <w:tab w:val="left" w:pos="709"/>
                <w:tab w:val="left" w:pos="1134"/>
                <w:tab w:val="left" w:pos="2126"/>
                <w:tab w:val="left" w:pos="4253"/>
                <w:tab w:val="left" w:pos="4942"/>
              </w:tabs>
              <w:rPr>
                <w:rFonts w:cs="Arial"/>
              </w:rPr>
            </w:pPr>
            <w:r>
              <w:rPr>
                <w:rFonts w:cs="Arial"/>
                <w:noProof/>
              </w:rPr>
              <w:t>STEFAN DEPRAETERE</w:t>
            </w:r>
          </w:p>
        </w:tc>
        <w:tc>
          <w:tcPr>
            <w:tcW w:w="4337" w:type="dxa"/>
          </w:tcPr>
          <w:p w14:paraId="5C12747D" w14:textId="77777777" w:rsidR="006715AB" w:rsidRPr="00B753B8" w:rsidRDefault="00E13602" w:rsidP="000C062B">
            <w:pPr>
              <w:tabs>
                <w:tab w:val="left" w:pos="709"/>
                <w:tab w:val="left" w:pos="1134"/>
                <w:tab w:val="left" w:pos="2126"/>
                <w:tab w:val="left" w:pos="4253"/>
                <w:tab w:val="left" w:pos="4942"/>
              </w:tabs>
              <w:jc w:val="right"/>
              <w:rPr>
                <w:rFonts w:cs="Arial"/>
              </w:rPr>
            </w:pPr>
            <w:r>
              <w:rPr>
                <w:rFonts w:cs="Arial"/>
                <w:noProof/>
              </w:rPr>
              <w:t>ANN-SOPHIE HIMPE</w:t>
            </w:r>
          </w:p>
        </w:tc>
      </w:tr>
    </w:tbl>
    <w:p w14:paraId="1E9D3D98" w14:textId="77777777" w:rsidR="005B396D" w:rsidRPr="00B753B8" w:rsidRDefault="005B396D" w:rsidP="005B396D">
      <w:pPr>
        <w:tabs>
          <w:tab w:val="left" w:pos="709"/>
          <w:tab w:val="left" w:pos="4942"/>
        </w:tabs>
        <w:rPr>
          <w:rFonts w:cs="Arial"/>
        </w:rPr>
      </w:pPr>
    </w:p>
    <w:p w14:paraId="1150A8CB" w14:textId="77777777" w:rsidR="005B396D" w:rsidRPr="00B753B8" w:rsidRDefault="005B396D" w:rsidP="00D82A72">
      <w:pPr>
        <w:rPr>
          <w:rFonts w:cs="Arial"/>
        </w:rPr>
      </w:pPr>
    </w:p>
    <w:p w14:paraId="5E682C8A" w14:textId="77777777" w:rsidR="00E172E7" w:rsidRPr="00B753B8" w:rsidRDefault="00E172E7" w:rsidP="00D82A72">
      <w:pPr>
        <w:rPr>
          <w:rFonts w:cs="Arial"/>
        </w:rPr>
      </w:pPr>
    </w:p>
    <w:p w14:paraId="5D819E32" w14:textId="77777777" w:rsidR="00E172E7" w:rsidRPr="00B753B8" w:rsidRDefault="00E172E7">
      <w:pPr>
        <w:rPr>
          <w:rFonts w:cs="Arial"/>
        </w:rPr>
      </w:pPr>
    </w:p>
    <w:p w14:paraId="509ECBDD" w14:textId="77777777" w:rsidR="00E172E7" w:rsidRPr="00B753B8" w:rsidRDefault="00E172E7">
      <w:pPr>
        <w:rPr>
          <w:rFonts w:cs="Arial"/>
        </w:rPr>
      </w:pPr>
    </w:p>
    <w:sectPr w:rsidR="00E172E7" w:rsidRPr="00B753B8">
      <w:headerReference w:type="default" r:id="rId7"/>
      <w:footerReference w:type="default" r:id="rId8"/>
      <w:pgSz w:w="11907" w:h="16840" w:code="9"/>
      <w:pgMar w:top="1418" w:right="1418" w:bottom="1418" w:left="1418"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1A236" w14:textId="77777777" w:rsidR="00903DC3" w:rsidRDefault="00903DC3">
      <w:r>
        <w:separator/>
      </w:r>
    </w:p>
  </w:endnote>
  <w:endnote w:type="continuationSeparator" w:id="0">
    <w:p w14:paraId="602BE334" w14:textId="77777777" w:rsidR="00903DC3" w:rsidRDefault="0090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D468" w14:textId="77777777" w:rsidR="00831CCD" w:rsidRDefault="00831CCD">
    <w:pPr>
      <w:pStyle w:val="Voettekst"/>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B86E0" w14:textId="77777777" w:rsidR="00903DC3" w:rsidRDefault="00903DC3">
      <w:r>
        <w:separator/>
      </w:r>
    </w:p>
  </w:footnote>
  <w:footnote w:type="continuationSeparator" w:id="0">
    <w:p w14:paraId="790A6D21" w14:textId="77777777" w:rsidR="00903DC3" w:rsidRDefault="00903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01D5" w14:textId="77777777" w:rsidR="00315900" w:rsidRDefault="00903DC3">
    <w:pPr>
      <w:pStyle w:val="Koptekst"/>
    </w:pPr>
    <w:r>
      <w:rPr>
        <w:rFonts w:cs="Arial"/>
        <w:noProof/>
        <w:lang w:val="nl-BE"/>
      </w:rPr>
      <w:pict w14:anchorId="2B1FE6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alt="Stad_Ieper_RGB_A4" style="width:35.4pt;height:53.4pt;visibility:visible">
          <v:imagedata r:id="rId1" o:title="Stad_Ieper_RGB_A4"/>
        </v:shape>
      </w:pict>
    </w:r>
  </w:p>
  <w:p w14:paraId="271201A0" w14:textId="77777777" w:rsidR="00831CCD" w:rsidRDefault="00831CCD">
    <w:pPr>
      <w:pStyle w:val="Koptekst"/>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A66C02E4">
      <w:start w:val="1"/>
      <w:numFmt w:val="bullet"/>
      <w:lvlText w:val=""/>
      <w:lvlJc w:val="left"/>
      <w:pPr>
        <w:ind w:left="720" w:hanging="360"/>
      </w:pPr>
      <w:rPr>
        <w:rFonts w:ascii="Symbol" w:hAnsi="Symbol"/>
      </w:rPr>
    </w:lvl>
    <w:lvl w:ilvl="1" w:tplc="4FE8EF6A">
      <w:start w:val="1"/>
      <w:numFmt w:val="bullet"/>
      <w:lvlText w:val="o"/>
      <w:lvlJc w:val="left"/>
      <w:pPr>
        <w:tabs>
          <w:tab w:val="num" w:pos="1440"/>
        </w:tabs>
        <w:ind w:left="1440" w:hanging="360"/>
      </w:pPr>
      <w:rPr>
        <w:rFonts w:ascii="Courier New" w:hAnsi="Courier New"/>
      </w:rPr>
    </w:lvl>
    <w:lvl w:ilvl="2" w:tplc="3A7C184C">
      <w:start w:val="1"/>
      <w:numFmt w:val="bullet"/>
      <w:lvlText w:val=""/>
      <w:lvlJc w:val="left"/>
      <w:pPr>
        <w:tabs>
          <w:tab w:val="num" w:pos="2160"/>
        </w:tabs>
        <w:ind w:left="2160" w:hanging="360"/>
      </w:pPr>
      <w:rPr>
        <w:rFonts w:ascii="Wingdings" w:hAnsi="Wingdings"/>
      </w:rPr>
    </w:lvl>
    <w:lvl w:ilvl="3" w:tplc="7D861CA0">
      <w:start w:val="1"/>
      <w:numFmt w:val="bullet"/>
      <w:lvlText w:val=""/>
      <w:lvlJc w:val="left"/>
      <w:pPr>
        <w:tabs>
          <w:tab w:val="num" w:pos="2880"/>
        </w:tabs>
        <w:ind w:left="2880" w:hanging="360"/>
      </w:pPr>
      <w:rPr>
        <w:rFonts w:ascii="Symbol" w:hAnsi="Symbol"/>
      </w:rPr>
    </w:lvl>
    <w:lvl w:ilvl="4" w:tplc="9592A894">
      <w:start w:val="1"/>
      <w:numFmt w:val="bullet"/>
      <w:lvlText w:val="o"/>
      <w:lvlJc w:val="left"/>
      <w:pPr>
        <w:tabs>
          <w:tab w:val="num" w:pos="3600"/>
        </w:tabs>
        <w:ind w:left="3600" w:hanging="360"/>
      </w:pPr>
      <w:rPr>
        <w:rFonts w:ascii="Courier New" w:hAnsi="Courier New"/>
      </w:rPr>
    </w:lvl>
    <w:lvl w:ilvl="5" w:tplc="B120B0F0">
      <w:start w:val="1"/>
      <w:numFmt w:val="bullet"/>
      <w:lvlText w:val=""/>
      <w:lvlJc w:val="left"/>
      <w:pPr>
        <w:tabs>
          <w:tab w:val="num" w:pos="4320"/>
        </w:tabs>
        <w:ind w:left="4320" w:hanging="360"/>
      </w:pPr>
      <w:rPr>
        <w:rFonts w:ascii="Wingdings" w:hAnsi="Wingdings"/>
      </w:rPr>
    </w:lvl>
    <w:lvl w:ilvl="6" w:tplc="5CF6DB02">
      <w:start w:val="1"/>
      <w:numFmt w:val="bullet"/>
      <w:lvlText w:val=""/>
      <w:lvlJc w:val="left"/>
      <w:pPr>
        <w:tabs>
          <w:tab w:val="num" w:pos="5040"/>
        </w:tabs>
        <w:ind w:left="5040" w:hanging="360"/>
      </w:pPr>
      <w:rPr>
        <w:rFonts w:ascii="Symbol" w:hAnsi="Symbol"/>
      </w:rPr>
    </w:lvl>
    <w:lvl w:ilvl="7" w:tplc="9D321C70">
      <w:start w:val="1"/>
      <w:numFmt w:val="bullet"/>
      <w:lvlText w:val="o"/>
      <w:lvlJc w:val="left"/>
      <w:pPr>
        <w:tabs>
          <w:tab w:val="num" w:pos="5760"/>
        </w:tabs>
        <w:ind w:left="5760" w:hanging="360"/>
      </w:pPr>
      <w:rPr>
        <w:rFonts w:ascii="Courier New" w:hAnsi="Courier New"/>
      </w:rPr>
    </w:lvl>
    <w:lvl w:ilvl="8" w:tplc="43103F0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8BA431A">
      <w:start w:val="1"/>
      <w:numFmt w:val="bullet"/>
      <w:lvlText w:val=""/>
      <w:lvlJc w:val="left"/>
      <w:pPr>
        <w:ind w:left="720" w:hanging="360"/>
      </w:pPr>
      <w:rPr>
        <w:rFonts w:ascii="Symbol" w:hAnsi="Symbol"/>
      </w:rPr>
    </w:lvl>
    <w:lvl w:ilvl="1" w:tplc="B8D0A220">
      <w:start w:val="1"/>
      <w:numFmt w:val="bullet"/>
      <w:lvlText w:val="o"/>
      <w:lvlJc w:val="left"/>
      <w:pPr>
        <w:tabs>
          <w:tab w:val="num" w:pos="1440"/>
        </w:tabs>
        <w:ind w:left="1440" w:hanging="360"/>
      </w:pPr>
      <w:rPr>
        <w:rFonts w:ascii="Courier New" w:hAnsi="Courier New"/>
      </w:rPr>
    </w:lvl>
    <w:lvl w:ilvl="2" w:tplc="51906B7A">
      <w:start w:val="1"/>
      <w:numFmt w:val="bullet"/>
      <w:lvlText w:val=""/>
      <w:lvlJc w:val="left"/>
      <w:pPr>
        <w:tabs>
          <w:tab w:val="num" w:pos="2160"/>
        </w:tabs>
        <w:ind w:left="2160" w:hanging="360"/>
      </w:pPr>
      <w:rPr>
        <w:rFonts w:ascii="Wingdings" w:hAnsi="Wingdings"/>
      </w:rPr>
    </w:lvl>
    <w:lvl w:ilvl="3" w:tplc="A0E025D2">
      <w:start w:val="1"/>
      <w:numFmt w:val="bullet"/>
      <w:lvlText w:val=""/>
      <w:lvlJc w:val="left"/>
      <w:pPr>
        <w:tabs>
          <w:tab w:val="num" w:pos="2880"/>
        </w:tabs>
        <w:ind w:left="2880" w:hanging="360"/>
      </w:pPr>
      <w:rPr>
        <w:rFonts w:ascii="Symbol" w:hAnsi="Symbol"/>
      </w:rPr>
    </w:lvl>
    <w:lvl w:ilvl="4" w:tplc="399C9EA6">
      <w:start w:val="1"/>
      <w:numFmt w:val="bullet"/>
      <w:lvlText w:val="o"/>
      <w:lvlJc w:val="left"/>
      <w:pPr>
        <w:tabs>
          <w:tab w:val="num" w:pos="3600"/>
        </w:tabs>
        <w:ind w:left="3600" w:hanging="360"/>
      </w:pPr>
      <w:rPr>
        <w:rFonts w:ascii="Courier New" w:hAnsi="Courier New"/>
      </w:rPr>
    </w:lvl>
    <w:lvl w:ilvl="5" w:tplc="EA5A03E8">
      <w:start w:val="1"/>
      <w:numFmt w:val="bullet"/>
      <w:lvlText w:val=""/>
      <w:lvlJc w:val="left"/>
      <w:pPr>
        <w:tabs>
          <w:tab w:val="num" w:pos="4320"/>
        </w:tabs>
        <w:ind w:left="4320" w:hanging="360"/>
      </w:pPr>
      <w:rPr>
        <w:rFonts w:ascii="Wingdings" w:hAnsi="Wingdings"/>
      </w:rPr>
    </w:lvl>
    <w:lvl w:ilvl="6" w:tplc="4CEC70AC">
      <w:start w:val="1"/>
      <w:numFmt w:val="bullet"/>
      <w:lvlText w:val=""/>
      <w:lvlJc w:val="left"/>
      <w:pPr>
        <w:tabs>
          <w:tab w:val="num" w:pos="5040"/>
        </w:tabs>
        <w:ind w:left="5040" w:hanging="360"/>
      </w:pPr>
      <w:rPr>
        <w:rFonts w:ascii="Symbol" w:hAnsi="Symbol"/>
      </w:rPr>
    </w:lvl>
    <w:lvl w:ilvl="7" w:tplc="ED544C1E">
      <w:start w:val="1"/>
      <w:numFmt w:val="bullet"/>
      <w:lvlText w:val="o"/>
      <w:lvlJc w:val="left"/>
      <w:pPr>
        <w:tabs>
          <w:tab w:val="num" w:pos="5760"/>
        </w:tabs>
        <w:ind w:left="5760" w:hanging="360"/>
      </w:pPr>
      <w:rPr>
        <w:rFonts w:ascii="Courier New" w:hAnsi="Courier New"/>
      </w:rPr>
    </w:lvl>
    <w:lvl w:ilvl="8" w:tplc="92E2707A">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TrackMoves/>
  <w:defaultTabStop w:val="708"/>
  <w:hyphenationZone w:val="425"/>
  <w:drawingGridHorizontalSpacing w:val="120"/>
  <w:drawingGridVerticalSpacing w:val="120"/>
  <w:displayVerticalDrawingGridEvery w:val="0"/>
  <w:doNotUseMarginsForDrawingGridOrigin/>
  <w:characterSpacingControl w:val="doNotCompress"/>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37C32"/>
    <w:rsid w:val="00074C14"/>
    <w:rsid w:val="0008297A"/>
    <w:rsid w:val="000C062B"/>
    <w:rsid w:val="000E1538"/>
    <w:rsid w:val="00117EC3"/>
    <w:rsid w:val="00171C78"/>
    <w:rsid w:val="001A5C44"/>
    <w:rsid w:val="001B070F"/>
    <w:rsid w:val="0020387A"/>
    <w:rsid w:val="00266258"/>
    <w:rsid w:val="00276618"/>
    <w:rsid w:val="002A5DE2"/>
    <w:rsid w:val="002B63CA"/>
    <w:rsid w:val="00300B4C"/>
    <w:rsid w:val="00315900"/>
    <w:rsid w:val="003533E4"/>
    <w:rsid w:val="00395A82"/>
    <w:rsid w:val="00410DB9"/>
    <w:rsid w:val="004953CF"/>
    <w:rsid w:val="004C7B22"/>
    <w:rsid w:val="00573168"/>
    <w:rsid w:val="005744C8"/>
    <w:rsid w:val="005808D1"/>
    <w:rsid w:val="00583B6C"/>
    <w:rsid w:val="00591BC5"/>
    <w:rsid w:val="005B396D"/>
    <w:rsid w:val="005D015C"/>
    <w:rsid w:val="00647E0C"/>
    <w:rsid w:val="00671283"/>
    <w:rsid w:val="006715AB"/>
    <w:rsid w:val="006839DF"/>
    <w:rsid w:val="0069281C"/>
    <w:rsid w:val="006B37D6"/>
    <w:rsid w:val="006C6D60"/>
    <w:rsid w:val="006D2A7C"/>
    <w:rsid w:val="006D585E"/>
    <w:rsid w:val="006F5BE1"/>
    <w:rsid w:val="00774A9E"/>
    <w:rsid w:val="00805FE1"/>
    <w:rsid w:val="00831CCD"/>
    <w:rsid w:val="008B36FA"/>
    <w:rsid w:val="008C341A"/>
    <w:rsid w:val="00903DC3"/>
    <w:rsid w:val="00954856"/>
    <w:rsid w:val="00984FB9"/>
    <w:rsid w:val="009A1A17"/>
    <w:rsid w:val="00A1140B"/>
    <w:rsid w:val="00A16C1A"/>
    <w:rsid w:val="00A37C32"/>
    <w:rsid w:val="00A63C07"/>
    <w:rsid w:val="00AB7492"/>
    <w:rsid w:val="00AD0F72"/>
    <w:rsid w:val="00AF5E96"/>
    <w:rsid w:val="00B70AF0"/>
    <w:rsid w:val="00B74C2A"/>
    <w:rsid w:val="00B753B8"/>
    <w:rsid w:val="00BA651E"/>
    <w:rsid w:val="00BC48F1"/>
    <w:rsid w:val="00C04B01"/>
    <w:rsid w:val="00C07E19"/>
    <w:rsid w:val="00C371B6"/>
    <w:rsid w:val="00C712E1"/>
    <w:rsid w:val="00C8542E"/>
    <w:rsid w:val="00CA4F6B"/>
    <w:rsid w:val="00CC7005"/>
    <w:rsid w:val="00D252A7"/>
    <w:rsid w:val="00D61ADC"/>
    <w:rsid w:val="00D82A72"/>
    <w:rsid w:val="00DB208B"/>
    <w:rsid w:val="00DC1821"/>
    <w:rsid w:val="00E13602"/>
    <w:rsid w:val="00E172E7"/>
    <w:rsid w:val="00E864C8"/>
    <w:rsid w:val="00E9032D"/>
    <w:rsid w:val="00EA08BF"/>
    <w:rsid w:val="00FB4B00"/>
    <w:rsid w:val="00FC75C0"/>
  </w:rsids>
  <m:mathPr>
    <m:mathFont m:val="Cambria Math"/>
    <m:brkBin m:val="before"/>
    <m:brkBinSub m:val="--"/>
    <m:smallFrac m:val="0"/>
    <m:dispDef/>
    <m:lMargin m:val="0"/>
    <m:rMargin m:val="0"/>
    <m:defJc m:val="centerGroup"/>
    <m:wrapRight/>
    <m:intLim m:val="subSup"/>
    <m:naryLim m:val="undOvr"/>
  </m:mathPr>
  <w:attachedSchema w:val="urn:schemas-microsoft-com:office:smarttags"/>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decimalSymbol w:val=","/>
  <w:listSeparator w:val=";"/>
  <w14:docId w14:val="1927F0F9"/>
  <w15:docId w15:val="{4C6D739F-B2E9-4387-8BF0-A584F8A5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15AB"/>
    <w:pPr>
      <w:overflowPunct w:val="0"/>
      <w:autoSpaceDE w:val="0"/>
      <w:autoSpaceDN w:val="0"/>
      <w:adjustRightInd w:val="0"/>
      <w:textAlignment w:val="baseline"/>
    </w:pPr>
    <w:rPr>
      <w:rFonts w:ascii="Arial" w:hAnsi="Arial"/>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semiHidden/>
    <w:pPr>
      <w:tabs>
        <w:tab w:val="center" w:pos="4536"/>
        <w:tab w:val="right" w:pos="9072"/>
      </w:tabs>
    </w:pPr>
  </w:style>
  <w:style w:type="paragraph" w:styleId="Ballontekst">
    <w:name w:val="Balloon Text"/>
    <w:basedOn w:val="Standaard"/>
    <w:link w:val="BallontekstChar"/>
    <w:uiPriority w:val="99"/>
    <w:semiHidden/>
    <w:unhideWhenUsed/>
    <w:rsid w:val="00A37C32"/>
    <w:rPr>
      <w:rFonts w:ascii="Tahoma" w:hAnsi="Tahoma" w:cs="Tahoma"/>
      <w:sz w:val="16"/>
      <w:szCs w:val="16"/>
    </w:rPr>
  </w:style>
  <w:style w:type="character" w:customStyle="1" w:styleId="BallontekstChar">
    <w:name w:val="Ballontekst Char"/>
    <w:link w:val="Ballontekst"/>
    <w:uiPriority w:val="99"/>
    <w:semiHidden/>
    <w:rsid w:val="00A37C32"/>
    <w:rPr>
      <w:rFonts w:ascii="Tahoma" w:hAnsi="Tahoma" w:cs="Tahoma"/>
      <w:sz w:val="16"/>
      <w:szCs w:val="16"/>
      <w:lang w:val="nl-NL"/>
    </w:rPr>
  </w:style>
  <w:style w:type="paragraph" w:customStyle="1" w:styleId="Agendapunt">
    <w:name w:val="Agendapunt"/>
    <w:rsid w:val="005B396D"/>
    <w:pPr>
      <w:pBdr>
        <w:top w:val="single" w:sz="4" w:space="1" w:color="auto"/>
        <w:left w:val="single" w:sz="4" w:space="4" w:color="auto"/>
        <w:bottom w:val="single" w:sz="4" w:space="1" w:color="auto"/>
        <w:right w:val="single" w:sz="4" w:space="4" w:color="auto"/>
      </w:pBdr>
      <w:tabs>
        <w:tab w:val="left" w:pos="340"/>
      </w:tabs>
      <w:ind w:left="340" w:hanging="340"/>
    </w:pPr>
    <w:rPr>
      <w:rFonts w:ascii="Arial" w:hAnsi="Arial"/>
      <w:sz w:val="22"/>
      <w:lang w:eastAsia="nl-NL"/>
    </w:rPr>
  </w:style>
  <w:style w:type="table" w:styleId="Tabelraster">
    <w:name w:val="Table Grid"/>
    <w:basedOn w:val="Standaardtabel"/>
    <w:uiPriority w:val="59"/>
    <w:rsid w:val="00410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vaklabel">
    <w:name w:val="Tekstvaklabel"/>
    <w:basedOn w:val="Standaard"/>
    <w:link w:val="TekstvaklabelChar"/>
    <w:qFormat/>
    <w:rsid w:val="006715AB"/>
    <w:pPr>
      <w:tabs>
        <w:tab w:val="left" w:pos="709"/>
        <w:tab w:val="left" w:pos="4942"/>
      </w:tabs>
    </w:pPr>
    <w:rPr>
      <w:rFonts w:cs="Arial"/>
      <w:i/>
      <w:color w:val="000000"/>
      <w:szCs w:val="22"/>
      <w:u w:val="single"/>
    </w:rPr>
  </w:style>
  <w:style w:type="character" w:customStyle="1" w:styleId="KoptekstChar">
    <w:name w:val="Koptekst Char"/>
    <w:link w:val="Koptekst"/>
    <w:uiPriority w:val="99"/>
    <w:rsid w:val="00315900"/>
    <w:rPr>
      <w:rFonts w:ascii="Arial" w:hAnsi="Arial"/>
      <w:lang w:val="nl-NL"/>
    </w:rPr>
  </w:style>
  <w:style w:type="character" w:customStyle="1" w:styleId="TekstvaklabelChar">
    <w:name w:val="Tekstvaklabel Char"/>
    <w:link w:val="Tekstvaklabel"/>
    <w:rsid w:val="006715AB"/>
    <w:rPr>
      <w:rFonts w:ascii="Arial" w:hAnsi="Arial" w:cs="Arial"/>
      <w:i/>
      <w:color w:val="000000"/>
      <w:szCs w:val="22"/>
      <w:u w:val="single"/>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2657</Words>
  <Characters>14618</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Politieverordening naar aanleiding van het plaatsen van een verkeerspark te Zillebeke op vrijdag 15 april 2016</vt:lpstr>
    </vt:vector>
  </TitlesOfParts>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Mathias Desmadryl</cp:lastModifiedBy>
  <cp:revision>5</cp:revision>
  <cp:lastPrinted>2016-04-12T06:40:00Z</cp:lastPrinted>
  <dcterms:created xsi:type="dcterms:W3CDTF">2016-12-07T12:22:00Z</dcterms:created>
  <dcterms:modified xsi:type="dcterms:W3CDTF">2021-02-08T09:57:00Z</dcterms:modified>
</cp:coreProperties>
</file>